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9E" w:rsidRPr="003F5B17" w:rsidRDefault="00D86304" w:rsidP="003C269E">
      <w:pPr>
        <w:jc w:val="both"/>
        <w:rPr>
          <w:b/>
          <w:sz w:val="24"/>
          <w:szCs w:val="24"/>
        </w:rPr>
      </w:pPr>
      <w:r w:rsidRPr="003F5B17">
        <w:rPr>
          <w:b/>
          <w:sz w:val="24"/>
          <w:szCs w:val="24"/>
        </w:rPr>
        <w:t xml:space="preserve">Potential title: </w:t>
      </w:r>
      <w:r w:rsidR="003C269E" w:rsidRPr="003F5B17">
        <w:rPr>
          <w:b/>
          <w:sz w:val="24"/>
          <w:szCs w:val="24"/>
        </w:rPr>
        <w:t>Who gains from new housing?</w:t>
      </w:r>
    </w:p>
    <w:p w:rsidR="00FF6B3C" w:rsidRDefault="00FF6B3C" w:rsidP="003C2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TCPA article </w:t>
      </w:r>
    </w:p>
    <w:p w:rsidR="00FF6B3C" w:rsidRDefault="00FF6B3C" w:rsidP="003C269E">
      <w:pPr>
        <w:jc w:val="both"/>
        <w:rPr>
          <w:sz w:val="24"/>
          <w:szCs w:val="24"/>
        </w:rPr>
      </w:pPr>
      <w:r>
        <w:rPr>
          <w:sz w:val="24"/>
          <w:szCs w:val="24"/>
        </w:rPr>
        <w:t>Draft 14</w:t>
      </w:r>
      <w:r w:rsidRPr="00FF6B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2017</w:t>
      </w:r>
    </w:p>
    <w:p w:rsidR="00D86304" w:rsidRPr="003F5B17" w:rsidRDefault="00D86304" w:rsidP="003C269E">
      <w:pPr>
        <w:jc w:val="both"/>
        <w:rPr>
          <w:sz w:val="24"/>
          <w:szCs w:val="24"/>
        </w:rPr>
      </w:pPr>
      <w:r w:rsidRPr="003F5B17">
        <w:rPr>
          <w:sz w:val="24"/>
          <w:szCs w:val="24"/>
        </w:rPr>
        <w:t>Becky Tunstall</w:t>
      </w:r>
    </w:p>
    <w:p w:rsidR="00931671" w:rsidRPr="003F5B17" w:rsidRDefault="008C4E44" w:rsidP="008C4E44">
      <w:pPr>
        <w:jc w:val="both"/>
        <w:rPr>
          <w:sz w:val="24"/>
          <w:szCs w:val="24"/>
        </w:rPr>
      </w:pPr>
      <w:r w:rsidRPr="003F5B17">
        <w:rPr>
          <w:sz w:val="24"/>
          <w:szCs w:val="24"/>
        </w:rPr>
        <w:t xml:space="preserve">Probably the </w:t>
      </w:r>
      <w:r w:rsidR="007F302B" w:rsidRPr="003F5B17">
        <w:rPr>
          <w:sz w:val="24"/>
          <w:szCs w:val="24"/>
        </w:rPr>
        <w:t xml:space="preserve">most familiar </w:t>
      </w:r>
      <w:r w:rsidRPr="003F5B17">
        <w:rPr>
          <w:sz w:val="24"/>
          <w:szCs w:val="24"/>
        </w:rPr>
        <w:t>depressing fact</w:t>
      </w:r>
      <w:r w:rsidR="007F302B" w:rsidRPr="003F5B17">
        <w:rPr>
          <w:sz w:val="24"/>
          <w:szCs w:val="24"/>
        </w:rPr>
        <w:t xml:space="preserve"> in planning</w:t>
      </w:r>
      <w:r w:rsidR="00931671" w:rsidRPr="003F5B17">
        <w:rPr>
          <w:sz w:val="24"/>
          <w:szCs w:val="24"/>
        </w:rPr>
        <w:t>,</w:t>
      </w:r>
      <w:r w:rsidRPr="003F5B17">
        <w:rPr>
          <w:sz w:val="24"/>
          <w:szCs w:val="24"/>
        </w:rPr>
        <w:t xml:space="preserve"> and one of the top ones </w:t>
      </w:r>
      <w:r w:rsidR="007F302B" w:rsidRPr="003F5B17">
        <w:rPr>
          <w:sz w:val="24"/>
          <w:szCs w:val="24"/>
        </w:rPr>
        <w:t xml:space="preserve">in politics </w:t>
      </w:r>
      <w:r w:rsidRPr="003F5B17">
        <w:rPr>
          <w:sz w:val="24"/>
          <w:szCs w:val="24"/>
        </w:rPr>
        <w:t>(</w:t>
      </w:r>
      <w:r w:rsidR="007F302B" w:rsidRPr="003F5B17">
        <w:rPr>
          <w:sz w:val="24"/>
          <w:szCs w:val="24"/>
        </w:rPr>
        <w:t>and even in discussion at bus stops</w:t>
      </w:r>
      <w:r w:rsidRPr="003F5B17">
        <w:rPr>
          <w:sz w:val="24"/>
          <w:szCs w:val="24"/>
        </w:rPr>
        <w:t>)</w:t>
      </w:r>
      <w:r w:rsidR="007F302B" w:rsidRPr="003F5B17">
        <w:rPr>
          <w:sz w:val="24"/>
          <w:szCs w:val="24"/>
        </w:rPr>
        <w:t xml:space="preserve"> is that </w:t>
      </w:r>
      <w:r w:rsidRPr="003F5B17">
        <w:rPr>
          <w:sz w:val="24"/>
          <w:szCs w:val="24"/>
        </w:rPr>
        <w:t xml:space="preserve">we are not </w:t>
      </w:r>
      <w:r w:rsidR="003C269E" w:rsidRPr="003F5B17">
        <w:rPr>
          <w:sz w:val="24"/>
          <w:szCs w:val="24"/>
        </w:rPr>
        <w:t xml:space="preserve">building </w:t>
      </w:r>
      <w:r w:rsidRPr="003F5B17">
        <w:rPr>
          <w:sz w:val="24"/>
          <w:szCs w:val="24"/>
        </w:rPr>
        <w:t>enough new homes</w:t>
      </w:r>
      <w:r w:rsidR="003C269E" w:rsidRPr="003F5B17">
        <w:rPr>
          <w:sz w:val="24"/>
          <w:szCs w:val="24"/>
        </w:rPr>
        <w:t xml:space="preserve">. </w:t>
      </w:r>
      <w:r w:rsidRPr="003F5B17">
        <w:rPr>
          <w:sz w:val="24"/>
          <w:szCs w:val="24"/>
        </w:rPr>
        <w:t xml:space="preserve">While this </w:t>
      </w:r>
      <w:r w:rsidR="00E2109B">
        <w:rPr>
          <w:sz w:val="24"/>
          <w:szCs w:val="24"/>
        </w:rPr>
        <w:t>information</w:t>
      </w:r>
      <w:r w:rsidR="00931671" w:rsidRPr="003F5B17">
        <w:rPr>
          <w:sz w:val="24"/>
          <w:szCs w:val="24"/>
        </w:rPr>
        <w:t xml:space="preserve"> </w:t>
      </w:r>
      <w:r w:rsidRPr="003F5B17">
        <w:rPr>
          <w:sz w:val="24"/>
          <w:szCs w:val="24"/>
        </w:rPr>
        <w:t>has been filtering into the conventional wisdom, d</w:t>
      </w:r>
      <w:r w:rsidR="003C269E" w:rsidRPr="003F5B17">
        <w:rPr>
          <w:sz w:val="24"/>
          <w:szCs w:val="24"/>
        </w:rPr>
        <w:t xml:space="preserve">emand </w:t>
      </w:r>
      <w:r w:rsidRPr="003F5B17">
        <w:rPr>
          <w:sz w:val="24"/>
          <w:szCs w:val="24"/>
        </w:rPr>
        <w:t xml:space="preserve">has </w:t>
      </w:r>
      <w:r w:rsidR="003C269E" w:rsidRPr="003F5B17">
        <w:rPr>
          <w:sz w:val="24"/>
          <w:szCs w:val="24"/>
        </w:rPr>
        <w:t>contin</w:t>
      </w:r>
      <w:r w:rsidRPr="003F5B17">
        <w:rPr>
          <w:sz w:val="24"/>
          <w:szCs w:val="24"/>
        </w:rPr>
        <w:t xml:space="preserve">ued to accumulate: </w:t>
      </w:r>
      <w:r w:rsidR="003C269E" w:rsidRPr="003F5B17">
        <w:rPr>
          <w:sz w:val="24"/>
          <w:szCs w:val="24"/>
        </w:rPr>
        <w:t>the number of new households 2008-15 was half a million mor</w:t>
      </w:r>
      <w:r w:rsidR="007F302B" w:rsidRPr="003F5B17">
        <w:rPr>
          <w:sz w:val="24"/>
          <w:szCs w:val="24"/>
        </w:rPr>
        <w:t>e than the number of new homes</w:t>
      </w:r>
      <w:r w:rsidR="007F302B" w:rsidRPr="003F5B17">
        <w:rPr>
          <w:rStyle w:val="FootnoteReference"/>
          <w:sz w:val="24"/>
          <w:szCs w:val="24"/>
        </w:rPr>
        <w:footnoteReference w:id="1"/>
      </w:r>
      <w:r w:rsidR="003C269E" w:rsidRPr="003F5B17">
        <w:rPr>
          <w:sz w:val="24"/>
          <w:szCs w:val="24"/>
        </w:rPr>
        <w:t xml:space="preserve">. </w:t>
      </w:r>
      <w:r w:rsidR="00A41E3C">
        <w:rPr>
          <w:sz w:val="24"/>
          <w:szCs w:val="24"/>
        </w:rPr>
        <w:t>In recent years, t</w:t>
      </w:r>
      <w:r w:rsidR="00CE0F68">
        <w:rPr>
          <w:sz w:val="24"/>
          <w:szCs w:val="24"/>
        </w:rPr>
        <w:t xml:space="preserve">he </w:t>
      </w:r>
      <w:r w:rsidRPr="003F5B17">
        <w:rPr>
          <w:sz w:val="24"/>
          <w:szCs w:val="24"/>
        </w:rPr>
        <w:t>p</w:t>
      </w:r>
      <w:r w:rsidR="007F302B" w:rsidRPr="003F5B17">
        <w:rPr>
          <w:sz w:val="24"/>
          <w:szCs w:val="24"/>
        </w:rPr>
        <w:t xml:space="preserve">lanning </w:t>
      </w:r>
      <w:r w:rsidR="00CE0F68">
        <w:rPr>
          <w:sz w:val="24"/>
          <w:szCs w:val="24"/>
        </w:rPr>
        <w:t xml:space="preserve">system </w:t>
      </w:r>
      <w:r w:rsidR="007F302B" w:rsidRPr="003F5B17">
        <w:rPr>
          <w:sz w:val="24"/>
          <w:szCs w:val="24"/>
        </w:rPr>
        <w:t xml:space="preserve">has been continuously </w:t>
      </w:r>
      <w:r w:rsidR="00E2109B" w:rsidRPr="003F5B17">
        <w:rPr>
          <w:sz w:val="24"/>
          <w:szCs w:val="24"/>
        </w:rPr>
        <w:t>reformed</w:t>
      </w:r>
      <w:r w:rsidR="007F302B" w:rsidRPr="003F5B17">
        <w:rPr>
          <w:sz w:val="24"/>
          <w:szCs w:val="24"/>
        </w:rPr>
        <w:t xml:space="preserve"> to</w:t>
      </w:r>
      <w:r w:rsidRPr="003F5B17">
        <w:rPr>
          <w:sz w:val="24"/>
          <w:szCs w:val="24"/>
        </w:rPr>
        <w:t xml:space="preserve"> try to encourage </w:t>
      </w:r>
      <w:r w:rsidR="00CE0F68">
        <w:rPr>
          <w:sz w:val="24"/>
          <w:szCs w:val="24"/>
        </w:rPr>
        <w:t>development</w:t>
      </w:r>
      <w:r w:rsidRPr="003F5B17">
        <w:rPr>
          <w:sz w:val="24"/>
          <w:szCs w:val="24"/>
        </w:rPr>
        <w:t xml:space="preserve">. </w:t>
      </w:r>
      <w:r w:rsidR="00CE0F68">
        <w:rPr>
          <w:sz w:val="24"/>
          <w:szCs w:val="24"/>
        </w:rPr>
        <w:t>Pledges</w:t>
      </w:r>
      <w:r w:rsidRPr="003F5B17">
        <w:rPr>
          <w:sz w:val="24"/>
          <w:szCs w:val="24"/>
        </w:rPr>
        <w:t xml:space="preserve"> to boost house building featured in all main party manifestos for the </w:t>
      </w:r>
      <w:r w:rsidR="00A41E3C">
        <w:rPr>
          <w:sz w:val="24"/>
          <w:szCs w:val="24"/>
        </w:rPr>
        <w:t xml:space="preserve">2017 </w:t>
      </w:r>
      <w:r w:rsidRPr="003F5B17">
        <w:rPr>
          <w:sz w:val="24"/>
          <w:szCs w:val="24"/>
        </w:rPr>
        <w:t>general election</w:t>
      </w:r>
      <w:r w:rsidR="00E2109B">
        <w:rPr>
          <w:sz w:val="24"/>
          <w:szCs w:val="24"/>
        </w:rPr>
        <w:t>, and</w:t>
      </w:r>
      <w:r w:rsidR="002E4E57" w:rsidRPr="003F5B17">
        <w:rPr>
          <w:sz w:val="24"/>
          <w:szCs w:val="24"/>
        </w:rPr>
        <w:t xml:space="preserve"> are certain to do so </w:t>
      </w:r>
      <w:r w:rsidR="00E2109B" w:rsidRPr="003F5B17">
        <w:rPr>
          <w:sz w:val="24"/>
          <w:szCs w:val="24"/>
        </w:rPr>
        <w:t>again</w:t>
      </w:r>
      <w:r w:rsidR="002E4E57" w:rsidRPr="003F5B17">
        <w:rPr>
          <w:sz w:val="24"/>
          <w:szCs w:val="24"/>
        </w:rPr>
        <w:t xml:space="preserve"> at the next</w:t>
      </w:r>
      <w:r w:rsidRPr="003F5B17">
        <w:rPr>
          <w:sz w:val="24"/>
          <w:szCs w:val="24"/>
        </w:rPr>
        <w:t xml:space="preserve">. </w:t>
      </w:r>
    </w:p>
    <w:p w:rsidR="008C4E44" w:rsidRPr="003F5B17" w:rsidRDefault="008C4E44" w:rsidP="00931671">
      <w:pPr>
        <w:jc w:val="both"/>
        <w:rPr>
          <w:sz w:val="24"/>
          <w:szCs w:val="24"/>
        </w:rPr>
      </w:pPr>
      <w:r w:rsidRPr="003F5B17">
        <w:rPr>
          <w:sz w:val="24"/>
          <w:szCs w:val="24"/>
        </w:rPr>
        <w:t xml:space="preserve">Policy makers tend to assume that </w:t>
      </w:r>
      <w:r w:rsidR="002E4E57" w:rsidRPr="003F5B17">
        <w:rPr>
          <w:sz w:val="24"/>
          <w:szCs w:val="24"/>
        </w:rPr>
        <w:t xml:space="preserve">more homes will equal reduced </w:t>
      </w:r>
      <w:r w:rsidRPr="003F5B17">
        <w:rPr>
          <w:sz w:val="24"/>
          <w:szCs w:val="24"/>
        </w:rPr>
        <w:t xml:space="preserve">house prices </w:t>
      </w:r>
      <w:r w:rsidR="002E4E57" w:rsidRPr="003F5B17">
        <w:rPr>
          <w:sz w:val="24"/>
          <w:szCs w:val="24"/>
        </w:rPr>
        <w:t>(or at least reduced increases)</w:t>
      </w:r>
      <w:r w:rsidR="00CE0F68">
        <w:rPr>
          <w:sz w:val="24"/>
          <w:szCs w:val="24"/>
        </w:rPr>
        <w:t>,</w:t>
      </w:r>
      <w:r w:rsidR="002E4E57" w:rsidRPr="003F5B17">
        <w:rPr>
          <w:sz w:val="24"/>
          <w:szCs w:val="24"/>
        </w:rPr>
        <w:t xml:space="preserve"> </w:t>
      </w:r>
      <w:r w:rsidR="00A04C90" w:rsidRPr="003F5B17">
        <w:rPr>
          <w:sz w:val="24"/>
          <w:szCs w:val="24"/>
        </w:rPr>
        <w:t xml:space="preserve">which </w:t>
      </w:r>
      <w:r w:rsidR="00A41E3C">
        <w:rPr>
          <w:sz w:val="24"/>
          <w:szCs w:val="24"/>
        </w:rPr>
        <w:t xml:space="preserve">will </w:t>
      </w:r>
      <w:r w:rsidR="00A04C90" w:rsidRPr="003F5B17">
        <w:rPr>
          <w:sz w:val="24"/>
          <w:szCs w:val="24"/>
        </w:rPr>
        <w:t>equal</w:t>
      </w:r>
      <w:r w:rsidR="000D7802" w:rsidRPr="003F5B17">
        <w:rPr>
          <w:sz w:val="24"/>
          <w:szCs w:val="24"/>
        </w:rPr>
        <w:t xml:space="preserve"> r</w:t>
      </w:r>
      <w:r w:rsidRPr="003F5B17">
        <w:rPr>
          <w:sz w:val="24"/>
          <w:szCs w:val="24"/>
        </w:rPr>
        <w:t>educe</w:t>
      </w:r>
      <w:r w:rsidR="000D7802" w:rsidRPr="003F5B17">
        <w:rPr>
          <w:sz w:val="24"/>
          <w:szCs w:val="24"/>
        </w:rPr>
        <w:t>d</w:t>
      </w:r>
      <w:r w:rsidRPr="003F5B17">
        <w:rPr>
          <w:sz w:val="24"/>
          <w:szCs w:val="24"/>
        </w:rPr>
        <w:t xml:space="preserve"> affordability problems</w:t>
      </w:r>
      <w:r w:rsidR="00CE0F68">
        <w:rPr>
          <w:sz w:val="24"/>
          <w:szCs w:val="24"/>
        </w:rPr>
        <w:t>,</w:t>
      </w:r>
      <w:r w:rsidR="000D7802" w:rsidRPr="003F5B17">
        <w:rPr>
          <w:sz w:val="24"/>
          <w:szCs w:val="24"/>
        </w:rPr>
        <w:t xml:space="preserve"> which will </w:t>
      </w:r>
      <w:r w:rsidRPr="003F5B17">
        <w:rPr>
          <w:sz w:val="24"/>
          <w:szCs w:val="24"/>
        </w:rPr>
        <w:t>help</w:t>
      </w:r>
      <w:r w:rsidR="002E4E57" w:rsidRPr="003F5B17">
        <w:rPr>
          <w:sz w:val="24"/>
          <w:szCs w:val="24"/>
        </w:rPr>
        <w:t xml:space="preserve"> everyone </w:t>
      </w:r>
      <w:r w:rsidR="000D7802" w:rsidRPr="003F5B17">
        <w:rPr>
          <w:sz w:val="24"/>
          <w:szCs w:val="24"/>
        </w:rPr>
        <w:t>(</w:t>
      </w:r>
      <w:r w:rsidR="002E4E57" w:rsidRPr="003F5B17">
        <w:rPr>
          <w:sz w:val="24"/>
          <w:szCs w:val="24"/>
        </w:rPr>
        <w:t>including</w:t>
      </w:r>
      <w:r w:rsidR="000D7802" w:rsidRPr="003F5B17">
        <w:rPr>
          <w:sz w:val="24"/>
          <w:szCs w:val="24"/>
        </w:rPr>
        <w:t>, somewhat vaguely,</w:t>
      </w:r>
      <w:r w:rsidRPr="003F5B17">
        <w:rPr>
          <w:sz w:val="24"/>
          <w:szCs w:val="24"/>
        </w:rPr>
        <w:t xml:space="preserve"> disadvantaged groups</w:t>
      </w:r>
      <w:r w:rsidR="000D7802" w:rsidRPr="003F5B17">
        <w:rPr>
          <w:sz w:val="24"/>
          <w:szCs w:val="24"/>
        </w:rPr>
        <w:t>)</w:t>
      </w:r>
      <w:r w:rsidRPr="003F5B17">
        <w:rPr>
          <w:sz w:val="24"/>
          <w:szCs w:val="24"/>
        </w:rPr>
        <w:t xml:space="preserve">. </w:t>
      </w:r>
      <w:r w:rsidR="002B12A6">
        <w:rPr>
          <w:sz w:val="24"/>
          <w:szCs w:val="24"/>
        </w:rPr>
        <w:t>The recent housing White Paper argued that the problem is “</w:t>
      </w:r>
      <w:r w:rsidR="002B12A6" w:rsidRPr="002B12A6">
        <w:rPr>
          <w:i/>
          <w:sz w:val="24"/>
          <w:szCs w:val="24"/>
        </w:rPr>
        <w:t>very simple”</w:t>
      </w:r>
      <w:r w:rsidR="002B12A6" w:rsidRPr="002B12A6">
        <w:rPr>
          <w:rStyle w:val="FootnoteReference"/>
          <w:i/>
          <w:sz w:val="24"/>
          <w:szCs w:val="24"/>
        </w:rPr>
        <w:footnoteReference w:id="2"/>
      </w:r>
      <w:r w:rsidR="002B12A6" w:rsidRPr="002B12A6">
        <w:rPr>
          <w:i/>
          <w:sz w:val="24"/>
          <w:szCs w:val="24"/>
        </w:rPr>
        <w:t>.</w:t>
      </w:r>
      <w:r w:rsidR="002B12A6">
        <w:rPr>
          <w:sz w:val="24"/>
          <w:szCs w:val="24"/>
        </w:rPr>
        <w:t xml:space="preserve"> </w:t>
      </w:r>
      <w:r w:rsidRPr="003F5B17">
        <w:rPr>
          <w:sz w:val="24"/>
          <w:szCs w:val="24"/>
        </w:rPr>
        <w:t xml:space="preserve">However, new housing </w:t>
      </w:r>
      <w:r w:rsidR="00E865AF" w:rsidRPr="003F5B17">
        <w:rPr>
          <w:sz w:val="24"/>
          <w:szCs w:val="24"/>
        </w:rPr>
        <w:t>often has</w:t>
      </w:r>
      <w:r w:rsidRPr="003F5B17">
        <w:rPr>
          <w:sz w:val="24"/>
          <w:szCs w:val="24"/>
        </w:rPr>
        <w:t xml:space="preserve"> no effect at all on people </w:t>
      </w:r>
      <w:r w:rsidR="00931671" w:rsidRPr="003F5B17">
        <w:rPr>
          <w:sz w:val="24"/>
          <w:szCs w:val="24"/>
        </w:rPr>
        <w:t xml:space="preserve">in poor housing </w:t>
      </w:r>
      <w:r w:rsidR="00E2109B" w:rsidRPr="003F5B17">
        <w:rPr>
          <w:sz w:val="24"/>
          <w:szCs w:val="24"/>
        </w:rPr>
        <w:t>conditions</w:t>
      </w:r>
      <w:r w:rsidR="00931671" w:rsidRPr="003F5B17">
        <w:rPr>
          <w:sz w:val="24"/>
          <w:szCs w:val="24"/>
        </w:rPr>
        <w:t xml:space="preserve"> or </w:t>
      </w:r>
      <w:r w:rsidRPr="003F5B17">
        <w:rPr>
          <w:sz w:val="24"/>
          <w:szCs w:val="24"/>
        </w:rPr>
        <w:t>on low incomes.</w:t>
      </w:r>
      <w:r w:rsidR="00931671" w:rsidRPr="003F5B17">
        <w:rPr>
          <w:sz w:val="24"/>
          <w:szCs w:val="24"/>
        </w:rPr>
        <w:t xml:space="preserve"> </w:t>
      </w:r>
      <w:r w:rsidRPr="003F5B17">
        <w:rPr>
          <w:sz w:val="24"/>
          <w:szCs w:val="24"/>
        </w:rPr>
        <w:t>They will not be able t</w:t>
      </w:r>
      <w:r w:rsidR="002E4E57" w:rsidRPr="003F5B17">
        <w:rPr>
          <w:sz w:val="24"/>
          <w:szCs w:val="24"/>
        </w:rPr>
        <w:t xml:space="preserve">o </w:t>
      </w:r>
      <w:r w:rsidR="002B12A6">
        <w:rPr>
          <w:sz w:val="24"/>
          <w:szCs w:val="24"/>
        </w:rPr>
        <w:t xml:space="preserve">afford </w:t>
      </w:r>
      <w:r w:rsidRPr="003F5B17">
        <w:rPr>
          <w:sz w:val="24"/>
          <w:szCs w:val="24"/>
        </w:rPr>
        <w:t>most of any new housing th</w:t>
      </w:r>
      <w:r w:rsidR="00A04C90" w:rsidRPr="003F5B17">
        <w:rPr>
          <w:sz w:val="24"/>
          <w:szCs w:val="24"/>
        </w:rPr>
        <w:t xml:space="preserve">at </w:t>
      </w:r>
      <w:r w:rsidR="00CE0F68">
        <w:rPr>
          <w:sz w:val="24"/>
          <w:szCs w:val="24"/>
        </w:rPr>
        <w:t xml:space="preserve">does </w:t>
      </w:r>
      <w:r w:rsidR="00A04C90" w:rsidRPr="003F5B17">
        <w:rPr>
          <w:sz w:val="24"/>
          <w:szCs w:val="24"/>
        </w:rPr>
        <w:t xml:space="preserve">get built. </w:t>
      </w:r>
      <w:r w:rsidR="002B12A6">
        <w:rPr>
          <w:sz w:val="24"/>
          <w:szCs w:val="24"/>
        </w:rPr>
        <w:t xml:space="preserve">Some suggest that this doesn’t matter, as benefits will </w:t>
      </w:r>
      <w:r w:rsidRPr="003F5B17">
        <w:rPr>
          <w:sz w:val="24"/>
          <w:szCs w:val="24"/>
        </w:rPr>
        <w:t>‘trickle down’</w:t>
      </w:r>
      <w:r w:rsidR="002B12A6">
        <w:rPr>
          <w:sz w:val="24"/>
          <w:szCs w:val="24"/>
        </w:rPr>
        <w:t xml:space="preserve"> </w:t>
      </w:r>
      <w:r w:rsidR="00A04C90" w:rsidRPr="003F5B17">
        <w:rPr>
          <w:sz w:val="24"/>
          <w:szCs w:val="24"/>
        </w:rPr>
        <w:t>(</w:t>
      </w:r>
      <w:r w:rsidR="002B12A6">
        <w:rPr>
          <w:sz w:val="24"/>
          <w:szCs w:val="24"/>
        </w:rPr>
        <w:t xml:space="preserve">so, </w:t>
      </w:r>
      <w:r w:rsidR="00A04C90" w:rsidRPr="003F5B17">
        <w:rPr>
          <w:sz w:val="24"/>
          <w:szCs w:val="24"/>
        </w:rPr>
        <w:t>to mix the metaphor</w:t>
      </w:r>
      <w:r w:rsidR="000140D3">
        <w:rPr>
          <w:sz w:val="24"/>
          <w:szCs w:val="24"/>
        </w:rPr>
        <w:t>s</w:t>
      </w:r>
      <w:r w:rsidR="00A04C90" w:rsidRPr="003F5B17">
        <w:rPr>
          <w:sz w:val="24"/>
          <w:szCs w:val="24"/>
        </w:rPr>
        <w:t xml:space="preserve">, a new rung on the top of the ladder lets everyone </w:t>
      </w:r>
      <w:r w:rsidR="00E2109B" w:rsidRPr="003F5B17">
        <w:rPr>
          <w:sz w:val="24"/>
          <w:szCs w:val="24"/>
        </w:rPr>
        <w:t>step</w:t>
      </w:r>
      <w:r w:rsidR="00A04C90" w:rsidRPr="003F5B17">
        <w:rPr>
          <w:sz w:val="24"/>
          <w:szCs w:val="24"/>
        </w:rPr>
        <w:t xml:space="preserve"> up)</w:t>
      </w:r>
      <w:r w:rsidR="000140D3">
        <w:rPr>
          <w:sz w:val="24"/>
          <w:szCs w:val="24"/>
        </w:rPr>
        <w:t>. However</w:t>
      </w:r>
      <w:r w:rsidR="00A04C90" w:rsidRPr="003F5B17">
        <w:rPr>
          <w:sz w:val="24"/>
          <w:szCs w:val="24"/>
        </w:rPr>
        <w:t xml:space="preserve">, </w:t>
      </w:r>
      <w:r w:rsidR="000140D3">
        <w:rPr>
          <w:sz w:val="24"/>
          <w:szCs w:val="24"/>
        </w:rPr>
        <w:t>others</w:t>
      </w:r>
      <w:r w:rsidR="00A04C90" w:rsidRPr="003F5B17">
        <w:rPr>
          <w:sz w:val="24"/>
          <w:szCs w:val="24"/>
        </w:rPr>
        <w:t xml:space="preserve"> argue </w:t>
      </w:r>
      <w:r w:rsidR="000140D3">
        <w:rPr>
          <w:sz w:val="24"/>
          <w:szCs w:val="24"/>
        </w:rPr>
        <w:t xml:space="preserve">that </w:t>
      </w:r>
      <w:r w:rsidR="00A04C90" w:rsidRPr="003F5B17">
        <w:rPr>
          <w:sz w:val="24"/>
          <w:szCs w:val="24"/>
        </w:rPr>
        <w:t>t</w:t>
      </w:r>
      <w:r w:rsidR="002B12A6">
        <w:rPr>
          <w:sz w:val="24"/>
          <w:szCs w:val="24"/>
        </w:rPr>
        <w:t xml:space="preserve">rickle </w:t>
      </w:r>
      <w:r w:rsidR="00A04C90" w:rsidRPr="003F5B17">
        <w:rPr>
          <w:sz w:val="24"/>
          <w:szCs w:val="24"/>
        </w:rPr>
        <w:t>cannot be relied on</w:t>
      </w:r>
      <w:r w:rsidRPr="003F5B17">
        <w:rPr>
          <w:rStyle w:val="FootnoteReference"/>
          <w:sz w:val="24"/>
          <w:szCs w:val="24"/>
        </w:rPr>
        <w:footnoteReference w:id="3"/>
      </w:r>
      <w:r w:rsidR="002B12A6">
        <w:rPr>
          <w:sz w:val="24"/>
          <w:szCs w:val="24"/>
        </w:rPr>
        <w:t>. M</w:t>
      </w:r>
      <w:r w:rsidR="00A04C90" w:rsidRPr="003F5B17">
        <w:rPr>
          <w:sz w:val="24"/>
          <w:szCs w:val="24"/>
        </w:rPr>
        <w:t xml:space="preserve">y own research finds no sign </w:t>
      </w:r>
      <w:r w:rsidR="002B12A6">
        <w:rPr>
          <w:sz w:val="24"/>
          <w:szCs w:val="24"/>
        </w:rPr>
        <w:t>it</w:t>
      </w:r>
      <w:r w:rsidR="00A04C90" w:rsidRPr="003F5B17">
        <w:rPr>
          <w:sz w:val="24"/>
          <w:szCs w:val="24"/>
        </w:rPr>
        <w:t xml:space="preserve"> exist</w:t>
      </w:r>
      <w:r w:rsidR="002B12A6">
        <w:rPr>
          <w:sz w:val="24"/>
          <w:szCs w:val="24"/>
        </w:rPr>
        <w:t>s</w:t>
      </w:r>
      <w:r w:rsidR="00A04C90" w:rsidRPr="003F5B17">
        <w:rPr>
          <w:sz w:val="24"/>
          <w:szCs w:val="24"/>
        </w:rPr>
        <w:t>.</w:t>
      </w:r>
    </w:p>
    <w:p w:rsidR="001400C5" w:rsidRPr="003F5B17" w:rsidRDefault="002E4E57" w:rsidP="001400C5">
      <w:pPr>
        <w:spacing w:line="240" w:lineRule="auto"/>
        <w:jc w:val="both"/>
        <w:rPr>
          <w:sz w:val="24"/>
          <w:szCs w:val="24"/>
        </w:rPr>
      </w:pPr>
      <w:r w:rsidRPr="003F5B17">
        <w:rPr>
          <w:sz w:val="24"/>
          <w:szCs w:val="24"/>
        </w:rPr>
        <w:t>O</w:t>
      </w:r>
      <w:r w:rsidR="001400C5" w:rsidRPr="003F5B17">
        <w:rPr>
          <w:sz w:val="24"/>
          <w:szCs w:val="24"/>
        </w:rPr>
        <w:t xml:space="preserve">ver the 30 years </w:t>
      </w:r>
      <w:r w:rsidR="001400C5" w:rsidRPr="003F5B17">
        <w:rPr>
          <w:sz w:val="24"/>
          <w:szCs w:val="24"/>
        </w:rPr>
        <w:t>1981-2011</w:t>
      </w:r>
      <w:r w:rsidR="001400C5" w:rsidRPr="003F5B17">
        <w:rPr>
          <w:sz w:val="24"/>
          <w:szCs w:val="24"/>
        </w:rPr>
        <w:t xml:space="preserve">, </w:t>
      </w:r>
      <w:r w:rsidR="00132F5C">
        <w:rPr>
          <w:sz w:val="24"/>
          <w:szCs w:val="24"/>
        </w:rPr>
        <w:t xml:space="preserve">38.3m </w:t>
      </w:r>
      <w:r w:rsidR="001400C5" w:rsidRPr="003F5B17">
        <w:rPr>
          <w:sz w:val="24"/>
          <w:szCs w:val="24"/>
        </w:rPr>
        <w:t>extra rooms were built</w:t>
      </w:r>
      <w:r w:rsidRPr="003F5B17">
        <w:rPr>
          <w:sz w:val="24"/>
          <w:szCs w:val="24"/>
        </w:rPr>
        <w:t xml:space="preserve"> in England and Wales</w:t>
      </w:r>
      <w:r w:rsidR="00E4658A">
        <w:rPr>
          <w:sz w:val="24"/>
          <w:szCs w:val="24"/>
        </w:rPr>
        <w:t>, a</w:t>
      </w:r>
      <w:r w:rsidR="004A2132">
        <w:rPr>
          <w:sz w:val="24"/>
          <w:szCs w:val="24"/>
        </w:rPr>
        <w:t xml:space="preserve"> whopping</w:t>
      </w:r>
      <w:r w:rsidR="00E4658A">
        <w:rPr>
          <w:sz w:val="24"/>
          <w:szCs w:val="24"/>
        </w:rPr>
        <w:t xml:space="preserve"> in</w:t>
      </w:r>
      <w:r w:rsidR="00FA50C9">
        <w:rPr>
          <w:sz w:val="24"/>
          <w:szCs w:val="24"/>
        </w:rPr>
        <w:t xml:space="preserve">crease of </w:t>
      </w:r>
      <w:r w:rsidR="00674CE7">
        <w:rPr>
          <w:sz w:val="24"/>
          <w:szCs w:val="24"/>
        </w:rPr>
        <w:t>44%</w:t>
      </w:r>
      <w:r w:rsidR="004A2132">
        <w:rPr>
          <w:sz w:val="24"/>
          <w:szCs w:val="24"/>
        </w:rPr>
        <w:t>, which ran well ahead of growth in households (32%) and people (15%)</w:t>
      </w:r>
      <w:r w:rsidR="001400C5" w:rsidRPr="003F5B17">
        <w:rPr>
          <w:sz w:val="24"/>
          <w:szCs w:val="24"/>
        </w:rPr>
        <w:t>.</w:t>
      </w:r>
      <w:r w:rsidR="001400C5" w:rsidRPr="003F5B17">
        <w:rPr>
          <w:sz w:val="24"/>
          <w:szCs w:val="24"/>
        </w:rPr>
        <w:t xml:space="preserve"> </w:t>
      </w:r>
      <w:r w:rsidR="00E865AF" w:rsidRPr="003F5B17">
        <w:rPr>
          <w:sz w:val="24"/>
          <w:szCs w:val="24"/>
        </w:rPr>
        <w:t xml:space="preserve">This development cost money, natural resources, </w:t>
      </w:r>
      <w:proofErr w:type="gramStart"/>
      <w:r w:rsidR="00E865AF" w:rsidRPr="003F5B17">
        <w:rPr>
          <w:sz w:val="24"/>
          <w:szCs w:val="24"/>
        </w:rPr>
        <w:t>green</w:t>
      </w:r>
      <w:proofErr w:type="gramEnd"/>
      <w:r w:rsidR="00E865AF" w:rsidRPr="003F5B17">
        <w:rPr>
          <w:sz w:val="24"/>
          <w:szCs w:val="24"/>
        </w:rPr>
        <w:t xml:space="preserve"> spaces, millions of hours of work, and some very boring </w:t>
      </w:r>
      <w:r w:rsidR="000140D3">
        <w:rPr>
          <w:sz w:val="24"/>
          <w:szCs w:val="24"/>
        </w:rPr>
        <w:t>or</w:t>
      </w:r>
      <w:r w:rsidR="00E865AF" w:rsidRPr="003F5B17">
        <w:rPr>
          <w:sz w:val="24"/>
          <w:szCs w:val="24"/>
        </w:rPr>
        <w:t xml:space="preserve"> very fraught meetings. </w:t>
      </w:r>
      <w:r w:rsidR="001400C5" w:rsidRPr="003F5B17">
        <w:rPr>
          <w:sz w:val="24"/>
          <w:szCs w:val="24"/>
        </w:rPr>
        <w:t xml:space="preserve">However, </w:t>
      </w:r>
      <w:r w:rsidR="00E865AF" w:rsidRPr="003F5B17">
        <w:rPr>
          <w:sz w:val="24"/>
          <w:szCs w:val="24"/>
        </w:rPr>
        <w:t>it</w:t>
      </w:r>
      <w:r w:rsidR="001400C5" w:rsidRPr="003F5B17">
        <w:rPr>
          <w:sz w:val="24"/>
          <w:szCs w:val="24"/>
        </w:rPr>
        <w:t xml:space="preserve"> </w:t>
      </w:r>
      <w:r w:rsidR="00CE0F68">
        <w:rPr>
          <w:sz w:val="24"/>
          <w:szCs w:val="24"/>
        </w:rPr>
        <w:t xml:space="preserve">had almost no impact on </w:t>
      </w:r>
      <w:r w:rsidR="001400C5" w:rsidRPr="003F5B17">
        <w:rPr>
          <w:sz w:val="24"/>
          <w:szCs w:val="24"/>
        </w:rPr>
        <w:t xml:space="preserve">the </w:t>
      </w:r>
      <w:r w:rsidR="004A2132">
        <w:rPr>
          <w:sz w:val="24"/>
          <w:szCs w:val="24"/>
        </w:rPr>
        <w:t xml:space="preserve">housing conditions of the </w:t>
      </w:r>
      <w:r w:rsidR="001400C5" w:rsidRPr="003F5B17">
        <w:rPr>
          <w:sz w:val="24"/>
          <w:szCs w:val="24"/>
        </w:rPr>
        <w:t xml:space="preserve">least-spaciously housed </w:t>
      </w:r>
      <w:r w:rsidR="006A0C40">
        <w:rPr>
          <w:sz w:val="24"/>
          <w:szCs w:val="24"/>
        </w:rPr>
        <w:t>people</w:t>
      </w:r>
      <w:r w:rsidR="001400C5" w:rsidRPr="003F5B17">
        <w:rPr>
          <w:sz w:val="24"/>
          <w:szCs w:val="24"/>
        </w:rPr>
        <w:t xml:space="preserve">. </w:t>
      </w:r>
      <w:r w:rsidR="006A0C40">
        <w:rPr>
          <w:sz w:val="24"/>
          <w:szCs w:val="24"/>
        </w:rPr>
        <w:t xml:space="preserve">If someone is at the ‘10th percentile’, it means that </w:t>
      </w:r>
      <w:r w:rsidR="006A0C40">
        <w:rPr>
          <w:sz w:val="24"/>
          <w:szCs w:val="24"/>
        </w:rPr>
        <w:t>10%</w:t>
      </w:r>
      <w:r w:rsidR="006A0C40">
        <w:rPr>
          <w:sz w:val="24"/>
          <w:szCs w:val="24"/>
        </w:rPr>
        <w:t xml:space="preserve"> of the population have less housing space</w:t>
      </w:r>
      <w:r w:rsidR="006A0C40">
        <w:rPr>
          <w:sz w:val="24"/>
          <w:szCs w:val="24"/>
        </w:rPr>
        <w:t xml:space="preserve"> per person than they do and 90% </w:t>
      </w:r>
      <w:r w:rsidR="006A0C40">
        <w:rPr>
          <w:sz w:val="24"/>
          <w:szCs w:val="24"/>
        </w:rPr>
        <w:t>percent have more.</w:t>
      </w:r>
      <w:r w:rsidR="006A0C40">
        <w:rPr>
          <w:sz w:val="24"/>
          <w:szCs w:val="24"/>
        </w:rPr>
        <w:t xml:space="preserve"> </w:t>
      </w:r>
      <w:r w:rsidR="00E865AF" w:rsidRPr="003F5B17">
        <w:rPr>
          <w:sz w:val="24"/>
          <w:szCs w:val="24"/>
        </w:rPr>
        <w:t xml:space="preserve">In 1981 </w:t>
      </w:r>
      <w:r w:rsidR="006A0C40">
        <w:rPr>
          <w:sz w:val="24"/>
          <w:szCs w:val="24"/>
        </w:rPr>
        <w:t>people at the 10</w:t>
      </w:r>
      <w:r w:rsidR="006A0C40" w:rsidRPr="006A0C40">
        <w:rPr>
          <w:sz w:val="24"/>
          <w:szCs w:val="24"/>
          <w:vertAlign w:val="superscript"/>
        </w:rPr>
        <w:t>th</w:t>
      </w:r>
      <w:r w:rsidR="006A0C40">
        <w:rPr>
          <w:sz w:val="24"/>
          <w:szCs w:val="24"/>
        </w:rPr>
        <w:t xml:space="preserve"> percentile</w:t>
      </w:r>
      <w:r w:rsidR="00E865AF" w:rsidRPr="003F5B17">
        <w:rPr>
          <w:sz w:val="24"/>
          <w:szCs w:val="24"/>
        </w:rPr>
        <w:t xml:space="preserve"> had </w:t>
      </w:r>
      <w:r w:rsidR="000140D3">
        <w:rPr>
          <w:sz w:val="24"/>
          <w:szCs w:val="24"/>
        </w:rPr>
        <w:t>0.95</w:t>
      </w:r>
      <w:r w:rsidR="00132F5C">
        <w:rPr>
          <w:sz w:val="24"/>
          <w:szCs w:val="24"/>
        </w:rPr>
        <w:t xml:space="preserve"> room</w:t>
      </w:r>
      <w:r w:rsidR="004324E1">
        <w:rPr>
          <w:sz w:val="24"/>
          <w:szCs w:val="24"/>
        </w:rPr>
        <w:t>s</w:t>
      </w:r>
      <w:r w:rsidR="00E865AF" w:rsidRPr="003F5B17">
        <w:rPr>
          <w:sz w:val="24"/>
          <w:szCs w:val="24"/>
        </w:rPr>
        <w:t xml:space="preserve"> per person</w:t>
      </w:r>
      <w:r w:rsidR="0015746A">
        <w:rPr>
          <w:rStyle w:val="FootnoteReference"/>
          <w:sz w:val="24"/>
          <w:szCs w:val="24"/>
        </w:rPr>
        <w:footnoteReference w:id="4"/>
      </w:r>
      <w:r w:rsidRPr="003F5B17">
        <w:rPr>
          <w:sz w:val="24"/>
          <w:szCs w:val="24"/>
        </w:rPr>
        <w:t xml:space="preserve">. </w:t>
      </w:r>
      <w:r w:rsidR="00132F5C">
        <w:rPr>
          <w:sz w:val="24"/>
          <w:szCs w:val="24"/>
        </w:rPr>
        <w:t>In 1991</w:t>
      </w:r>
      <w:r w:rsidR="00CE0F68">
        <w:rPr>
          <w:sz w:val="24"/>
          <w:szCs w:val="24"/>
        </w:rPr>
        <w:t xml:space="preserve"> </w:t>
      </w:r>
      <w:r w:rsidR="000140D3">
        <w:rPr>
          <w:sz w:val="24"/>
          <w:szCs w:val="24"/>
        </w:rPr>
        <w:t xml:space="preserve">they had 1.0 room per person. In </w:t>
      </w:r>
      <w:r w:rsidR="00CE0F68">
        <w:rPr>
          <w:sz w:val="24"/>
          <w:szCs w:val="24"/>
        </w:rPr>
        <w:t>2001 and 2011</w:t>
      </w:r>
      <w:r w:rsidR="00132F5C">
        <w:rPr>
          <w:sz w:val="24"/>
          <w:szCs w:val="24"/>
        </w:rPr>
        <w:t xml:space="preserve"> they </w:t>
      </w:r>
      <w:r w:rsidR="000140D3">
        <w:rPr>
          <w:sz w:val="24"/>
          <w:szCs w:val="24"/>
        </w:rPr>
        <w:t xml:space="preserve">still </w:t>
      </w:r>
      <w:r w:rsidR="00132F5C">
        <w:rPr>
          <w:sz w:val="24"/>
          <w:szCs w:val="24"/>
        </w:rPr>
        <w:t xml:space="preserve">had </w:t>
      </w:r>
      <w:r w:rsidR="00A41E3C">
        <w:rPr>
          <w:sz w:val="24"/>
          <w:szCs w:val="24"/>
        </w:rPr>
        <w:t xml:space="preserve">just </w:t>
      </w:r>
      <w:r w:rsidR="000140D3">
        <w:rPr>
          <w:sz w:val="24"/>
          <w:szCs w:val="24"/>
        </w:rPr>
        <w:t>1.0</w:t>
      </w:r>
      <w:r w:rsidR="00132F5C">
        <w:rPr>
          <w:sz w:val="24"/>
          <w:szCs w:val="24"/>
        </w:rPr>
        <w:t xml:space="preserve"> room per person.</w:t>
      </w:r>
      <w:r w:rsidR="00E865AF" w:rsidRPr="003F5B17">
        <w:rPr>
          <w:sz w:val="24"/>
          <w:szCs w:val="24"/>
        </w:rPr>
        <w:t xml:space="preserve"> Meanwhile </w:t>
      </w:r>
      <w:r w:rsidR="006A0C40">
        <w:rPr>
          <w:sz w:val="24"/>
          <w:szCs w:val="24"/>
        </w:rPr>
        <w:t>people at the 90</w:t>
      </w:r>
      <w:r w:rsidR="006A0C40" w:rsidRPr="006A0C40">
        <w:rPr>
          <w:sz w:val="24"/>
          <w:szCs w:val="24"/>
          <w:vertAlign w:val="superscript"/>
        </w:rPr>
        <w:t>th</w:t>
      </w:r>
      <w:r w:rsidR="006A0C40">
        <w:rPr>
          <w:sz w:val="24"/>
          <w:szCs w:val="24"/>
        </w:rPr>
        <w:t xml:space="preserve"> percentile</w:t>
      </w:r>
      <w:r w:rsidR="00FA50C9">
        <w:rPr>
          <w:sz w:val="24"/>
          <w:szCs w:val="24"/>
        </w:rPr>
        <w:t xml:space="preserve"> </w:t>
      </w:r>
      <w:r w:rsidRPr="003F5B17">
        <w:rPr>
          <w:sz w:val="24"/>
          <w:szCs w:val="24"/>
        </w:rPr>
        <w:t>imp</w:t>
      </w:r>
      <w:r w:rsidR="00E2109B">
        <w:rPr>
          <w:sz w:val="24"/>
          <w:szCs w:val="24"/>
        </w:rPr>
        <w:t>ro</w:t>
      </w:r>
      <w:r w:rsidRPr="003F5B17">
        <w:rPr>
          <w:sz w:val="24"/>
          <w:szCs w:val="24"/>
        </w:rPr>
        <w:t xml:space="preserve">ved their position </w:t>
      </w:r>
      <w:r w:rsidR="000140D3">
        <w:rPr>
          <w:sz w:val="24"/>
          <w:szCs w:val="24"/>
        </w:rPr>
        <w:t xml:space="preserve">by 1.20 </w:t>
      </w:r>
      <w:r w:rsidR="00CE0F68">
        <w:rPr>
          <w:sz w:val="24"/>
          <w:szCs w:val="24"/>
        </w:rPr>
        <w:t xml:space="preserve">rooms </w:t>
      </w:r>
      <w:r w:rsidR="00A41E3C">
        <w:rPr>
          <w:sz w:val="24"/>
          <w:szCs w:val="24"/>
        </w:rPr>
        <w:t>each</w:t>
      </w:r>
      <w:r w:rsidR="00CE0F68">
        <w:rPr>
          <w:sz w:val="24"/>
          <w:szCs w:val="24"/>
        </w:rPr>
        <w:t xml:space="preserve"> </w:t>
      </w:r>
      <w:r w:rsidR="000140D3">
        <w:rPr>
          <w:sz w:val="24"/>
          <w:szCs w:val="24"/>
        </w:rPr>
        <w:t xml:space="preserve">over the </w:t>
      </w:r>
      <w:r w:rsidR="000140D3">
        <w:rPr>
          <w:sz w:val="24"/>
          <w:szCs w:val="24"/>
        </w:rPr>
        <w:lastRenderedPageBreak/>
        <w:t>same period</w:t>
      </w:r>
      <w:r w:rsidR="004324E1" w:rsidRPr="003F5B17">
        <w:rPr>
          <w:rStyle w:val="FootnoteReference"/>
          <w:sz w:val="24"/>
          <w:szCs w:val="24"/>
        </w:rPr>
        <w:footnoteReference w:id="5"/>
      </w:r>
      <w:r w:rsidR="006A0C40">
        <w:rPr>
          <w:sz w:val="24"/>
          <w:szCs w:val="24"/>
        </w:rPr>
        <w:t xml:space="preserve">. </w:t>
      </w:r>
      <w:r w:rsidR="006A0C40">
        <w:rPr>
          <w:sz w:val="24"/>
          <w:szCs w:val="24"/>
        </w:rPr>
        <w:t>T</w:t>
      </w:r>
      <w:r w:rsidR="006A0C40">
        <w:rPr>
          <w:sz w:val="24"/>
          <w:szCs w:val="24"/>
        </w:rPr>
        <w:t>he t</w:t>
      </w:r>
      <w:r w:rsidR="006A0C40">
        <w:rPr>
          <w:sz w:val="24"/>
          <w:szCs w:val="24"/>
        </w:rPr>
        <w:t xml:space="preserve">able </w:t>
      </w:r>
      <w:r w:rsidR="006A0C40" w:rsidRPr="007A75E6">
        <w:rPr>
          <w:sz w:val="24"/>
          <w:szCs w:val="24"/>
        </w:rPr>
        <w:t xml:space="preserve">shows the </w:t>
      </w:r>
      <w:r w:rsidR="006A0C40">
        <w:rPr>
          <w:sz w:val="24"/>
          <w:szCs w:val="24"/>
        </w:rPr>
        <w:t>gains in</w:t>
      </w:r>
      <w:r w:rsidR="006A0C40">
        <w:rPr>
          <w:sz w:val="24"/>
          <w:szCs w:val="24"/>
        </w:rPr>
        <w:t xml:space="preserve"> </w:t>
      </w:r>
      <w:r w:rsidR="006A0C40" w:rsidRPr="007A75E6">
        <w:rPr>
          <w:sz w:val="24"/>
          <w:szCs w:val="24"/>
        </w:rPr>
        <w:t xml:space="preserve">housing space </w:t>
      </w:r>
      <w:r w:rsidR="006A0C40">
        <w:rPr>
          <w:sz w:val="24"/>
          <w:szCs w:val="24"/>
        </w:rPr>
        <w:t xml:space="preserve">per person in England and Wales </w:t>
      </w:r>
      <w:r w:rsidR="006A0C40">
        <w:rPr>
          <w:sz w:val="24"/>
          <w:szCs w:val="24"/>
        </w:rPr>
        <w:t>made by</w:t>
      </w:r>
      <w:r w:rsidR="006A0C40">
        <w:rPr>
          <w:sz w:val="24"/>
          <w:szCs w:val="24"/>
        </w:rPr>
        <w:t xml:space="preserve"> people at different percentiles in the distribution of the population according to housing space. </w:t>
      </w:r>
    </w:p>
    <w:p w:rsidR="001400C5" w:rsidRDefault="000140D3" w:rsidP="006F0FA8">
      <w:pPr>
        <w:rPr>
          <w:sz w:val="24"/>
          <w:szCs w:val="24"/>
        </w:rPr>
      </w:pPr>
      <w:r>
        <w:rPr>
          <w:sz w:val="24"/>
          <w:szCs w:val="24"/>
        </w:rPr>
        <w:t xml:space="preserve">Table: Gains in </w:t>
      </w:r>
      <w:r w:rsidR="006A0C40">
        <w:rPr>
          <w:sz w:val="24"/>
          <w:szCs w:val="24"/>
        </w:rPr>
        <w:t>room per person</w:t>
      </w:r>
      <w:r>
        <w:rPr>
          <w:sz w:val="24"/>
          <w:szCs w:val="24"/>
        </w:rPr>
        <w:t xml:space="preserve"> for people at different percentiles of the population by housing space, England and Wales, 1981-2011</w:t>
      </w:r>
    </w:p>
    <w:p w:rsidR="000140D3" w:rsidRPr="003F5B17" w:rsidRDefault="000140D3" w:rsidP="001400C5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F373D59" wp14:editId="116FBD91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40D3" w:rsidRDefault="000140D3" w:rsidP="001400C5">
      <w:pPr>
        <w:jc w:val="both"/>
        <w:rPr>
          <w:sz w:val="24"/>
          <w:szCs w:val="24"/>
        </w:rPr>
      </w:pPr>
      <w:r>
        <w:rPr>
          <w:sz w:val="24"/>
          <w:szCs w:val="24"/>
        </w:rPr>
        <w:t>Source: Census 1981, 1991, 2001 and 2011</w:t>
      </w:r>
    </w:p>
    <w:p w:rsidR="001400C5" w:rsidRPr="003F5B17" w:rsidRDefault="00132F5C" w:rsidP="001400C5">
      <w:pPr>
        <w:jc w:val="both"/>
        <w:rPr>
          <w:sz w:val="24"/>
          <w:szCs w:val="24"/>
        </w:rPr>
      </w:pPr>
      <w:r>
        <w:rPr>
          <w:sz w:val="24"/>
          <w:szCs w:val="24"/>
        </w:rPr>
        <w:t>The situat</w:t>
      </w:r>
      <w:r w:rsidR="001400C5" w:rsidRPr="003F5B17">
        <w:rPr>
          <w:sz w:val="24"/>
          <w:szCs w:val="24"/>
        </w:rPr>
        <w:t>ion was even more extre</w:t>
      </w:r>
      <w:r w:rsidR="00E2109B">
        <w:rPr>
          <w:sz w:val="24"/>
          <w:szCs w:val="24"/>
        </w:rPr>
        <w:t>m</w:t>
      </w:r>
      <w:r w:rsidR="001400C5" w:rsidRPr="003F5B17">
        <w:rPr>
          <w:sz w:val="24"/>
          <w:szCs w:val="24"/>
        </w:rPr>
        <w:t>e in London.</w:t>
      </w:r>
      <w:r w:rsidR="00E865AF" w:rsidRPr="003F5B17">
        <w:rPr>
          <w:sz w:val="24"/>
          <w:szCs w:val="24"/>
        </w:rPr>
        <w:t xml:space="preserve"> </w:t>
      </w:r>
      <w:r w:rsidR="001400C5" w:rsidRPr="003F5B17">
        <w:rPr>
          <w:sz w:val="24"/>
          <w:szCs w:val="24"/>
        </w:rPr>
        <w:t>3.7m net rooms were added to the London housing stock</w:t>
      </w:r>
      <w:r w:rsidR="00E865AF" w:rsidRPr="003F5B17">
        <w:rPr>
          <w:sz w:val="24"/>
          <w:szCs w:val="24"/>
        </w:rPr>
        <w:t xml:space="preserve"> 1981-2011</w:t>
      </w:r>
      <w:r w:rsidR="002B12A6">
        <w:rPr>
          <w:sz w:val="24"/>
          <w:szCs w:val="24"/>
        </w:rPr>
        <w:t>. This was</w:t>
      </w:r>
      <w:r w:rsidR="001400C5" w:rsidRPr="003F5B17">
        <w:rPr>
          <w:sz w:val="24"/>
          <w:szCs w:val="24"/>
        </w:rPr>
        <w:t xml:space="preserve"> a</w:t>
      </w:r>
      <w:r w:rsidR="00562E6C">
        <w:rPr>
          <w:sz w:val="24"/>
          <w:szCs w:val="24"/>
        </w:rPr>
        <w:t xml:space="preserve"> </w:t>
      </w:r>
      <w:r w:rsidR="002B12A6">
        <w:rPr>
          <w:sz w:val="24"/>
          <w:szCs w:val="24"/>
        </w:rPr>
        <w:t>substantial</w:t>
      </w:r>
      <w:r w:rsidR="001400C5" w:rsidRPr="003F5B17">
        <w:rPr>
          <w:sz w:val="24"/>
          <w:szCs w:val="24"/>
        </w:rPr>
        <w:t xml:space="preserve"> 32%</w:t>
      </w:r>
      <w:r w:rsidR="001400C5" w:rsidRPr="003F5B17">
        <w:rPr>
          <w:sz w:val="24"/>
          <w:szCs w:val="24"/>
        </w:rPr>
        <w:t xml:space="preserve"> increase</w:t>
      </w:r>
      <w:r w:rsidR="002B12A6">
        <w:rPr>
          <w:sz w:val="24"/>
          <w:szCs w:val="24"/>
        </w:rPr>
        <w:t>, although</w:t>
      </w:r>
      <w:r w:rsidR="001400C5" w:rsidRPr="003F5B17">
        <w:rPr>
          <w:sz w:val="24"/>
          <w:szCs w:val="24"/>
        </w:rPr>
        <w:t xml:space="preserve"> </w:t>
      </w:r>
      <w:r w:rsidR="002B12A6">
        <w:rPr>
          <w:sz w:val="24"/>
          <w:szCs w:val="24"/>
        </w:rPr>
        <w:t xml:space="preserve">in the capital, </w:t>
      </w:r>
      <w:r w:rsidR="001400C5" w:rsidRPr="003F5B17">
        <w:rPr>
          <w:sz w:val="24"/>
          <w:szCs w:val="24"/>
        </w:rPr>
        <w:t xml:space="preserve">population and household </w:t>
      </w:r>
      <w:r w:rsidR="00E865AF" w:rsidRPr="003F5B17">
        <w:rPr>
          <w:sz w:val="24"/>
          <w:szCs w:val="24"/>
        </w:rPr>
        <w:t>growth was also dramatic</w:t>
      </w:r>
      <w:r w:rsidR="001400C5" w:rsidRPr="003F5B17">
        <w:rPr>
          <w:sz w:val="24"/>
          <w:szCs w:val="24"/>
        </w:rPr>
        <w:t xml:space="preserve">. </w:t>
      </w:r>
      <w:r w:rsidR="002B12A6">
        <w:rPr>
          <w:bCs/>
          <w:color w:val="000000"/>
          <w:sz w:val="24"/>
          <w:szCs w:val="24"/>
        </w:rPr>
        <w:t>Despite new housing development, o</w:t>
      </w:r>
      <w:r w:rsidR="00931671" w:rsidRPr="003F5B17">
        <w:rPr>
          <w:bCs/>
          <w:color w:val="000000"/>
          <w:sz w:val="24"/>
          <w:szCs w:val="24"/>
        </w:rPr>
        <w:t xml:space="preserve">ver the thirty years 1981-2011, </w:t>
      </w:r>
      <w:r w:rsidR="001400C5" w:rsidRPr="003F5B17">
        <w:rPr>
          <w:sz w:val="24"/>
          <w:szCs w:val="24"/>
        </w:rPr>
        <w:t xml:space="preserve">Londoners </w:t>
      </w:r>
      <w:r w:rsidR="006A0C40">
        <w:rPr>
          <w:sz w:val="24"/>
          <w:szCs w:val="24"/>
        </w:rPr>
        <w:t>at the 10</w:t>
      </w:r>
      <w:r w:rsidR="006A0C40" w:rsidRPr="006A0C40">
        <w:rPr>
          <w:sz w:val="24"/>
          <w:szCs w:val="24"/>
          <w:vertAlign w:val="superscript"/>
        </w:rPr>
        <w:t>th</w:t>
      </w:r>
      <w:r w:rsidR="006A0C40">
        <w:rPr>
          <w:sz w:val="24"/>
          <w:szCs w:val="24"/>
        </w:rPr>
        <w:t xml:space="preserve"> percentile </w:t>
      </w:r>
      <w:r w:rsidR="001400C5" w:rsidRPr="003F5B17">
        <w:rPr>
          <w:sz w:val="24"/>
          <w:szCs w:val="24"/>
        </w:rPr>
        <w:t>got</w:t>
      </w:r>
      <w:r w:rsidR="001400C5" w:rsidRPr="003F5B17">
        <w:rPr>
          <w:sz w:val="24"/>
          <w:szCs w:val="24"/>
        </w:rPr>
        <w:t xml:space="preserve"> absolutely </w:t>
      </w:r>
      <w:r w:rsidR="001400C5" w:rsidRPr="003F5B17">
        <w:rPr>
          <w:sz w:val="24"/>
          <w:szCs w:val="24"/>
        </w:rPr>
        <w:t>no extra</w:t>
      </w:r>
      <w:r w:rsidR="001400C5" w:rsidRPr="003F5B17">
        <w:rPr>
          <w:sz w:val="24"/>
          <w:szCs w:val="24"/>
        </w:rPr>
        <w:t xml:space="preserve"> housing space per person. </w:t>
      </w:r>
      <w:r w:rsidR="001400C5" w:rsidRPr="003F5B17">
        <w:rPr>
          <w:sz w:val="24"/>
          <w:szCs w:val="24"/>
        </w:rPr>
        <w:t>In addition</w:t>
      </w:r>
      <w:r w:rsidR="00931671" w:rsidRPr="003F5B17">
        <w:rPr>
          <w:sz w:val="24"/>
          <w:szCs w:val="24"/>
        </w:rPr>
        <w:t xml:space="preserve">, </w:t>
      </w:r>
      <w:r w:rsidR="001400C5" w:rsidRPr="003F5B17">
        <w:rPr>
          <w:sz w:val="24"/>
          <w:szCs w:val="24"/>
        </w:rPr>
        <w:t>t</w:t>
      </w:r>
      <w:r w:rsidR="001400C5" w:rsidRPr="003F5B17">
        <w:rPr>
          <w:sz w:val="24"/>
          <w:szCs w:val="24"/>
        </w:rPr>
        <w:t xml:space="preserve">he </w:t>
      </w:r>
      <w:r w:rsidR="00931671" w:rsidRPr="003F5B17">
        <w:rPr>
          <w:sz w:val="24"/>
          <w:szCs w:val="24"/>
        </w:rPr>
        <w:t xml:space="preserve">vast </w:t>
      </w:r>
      <w:r w:rsidR="001400C5" w:rsidRPr="003F5B17">
        <w:rPr>
          <w:sz w:val="24"/>
          <w:szCs w:val="24"/>
        </w:rPr>
        <w:t>majority of Londoners made no more than trivial gains</w:t>
      </w:r>
      <w:r w:rsidR="00A04C90" w:rsidRPr="003F5B17">
        <w:rPr>
          <w:sz w:val="24"/>
          <w:szCs w:val="24"/>
        </w:rPr>
        <w:t xml:space="preserve"> in housing space</w:t>
      </w:r>
      <w:r w:rsidR="001400C5" w:rsidRPr="003F5B17">
        <w:rPr>
          <w:sz w:val="24"/>
          <w:szCs w:val="24"/>
        </w:rPr>
        <w:t xml:space="preserve">. Only Londoners </w:t>
      </w:r>
      <w:r w:rsidR="006A0C40">
        <w:rPr>
          <w:sz w:val="24"/>
          <w:szCs w:val="24"/>
        </w:rPr>
        <w:t>at the 80</w:t>
      </w:r>
      <w:r w:rsidR="006A0C40" w:rsidRPr="006A0C40">
        <w:rPr>
          <w:sz w:val="24"/>
          <w:szCs w:val="24"/>
          <w:vertAlign w:val="superscript"/>
        </w:rPr>
        <w:t>th</w:t>
      </w:r>
      <w:r w:rsidR="006A0C40">
        <w:rPr>
          <w:sz w:val="24"/>
          <w:szCs w:val="24"/>
        </w:rPr>
        <w:t xml:space="preserve"> percentile and above </w:t>
      </w:r>
      <w:r w:rsidR="001400C5" w:rsidRPr="003F5B17">
        <w:rPr>
          <w:sz w:val="24"/>
          <w:szCs w:val="24"/>
        </w:rPr>
        <w:t xml:space="preserve">got </w:t>
      </w:r>
      <w:r w:rsidR="001400C5" w:rsidRPr="003F5B17">
        <w:rPr>
          <w:sz w:val="24"/>
          <w:szCs w:val="24"/>
        </w:rPr>
        <w:t>significant</w:t>
      </w:r>
      <w:r w:rsidR="00A04C90" w:rsidRPr="003F5B17">
        <w:rPr>
          <w:sz w:val="24"/>
          <w:szCs w:val="24"/>
        </w:rPr>
        <w:t>ly more</w:t>
      </w:r>
      <w:r w:rsidR="00931671" w:rsidRPr="003F5B17">
        <w:rPr>
          <w:rStyle w:val="FootnoteReference"/>
          <w:sz w:val="24"/>
          <w:szCs w:val="24"/>
        </w:rPr>
        <w:footnoteReference w:id="6"/>
      </w:r>
      <w:r w:rsidR="001400C5" w:rsidRPr="003F5B17">
        <w:rPr>
          <w:sz w:val="24"/>
          <w:szCs w:val="24"/>
        </w:rPr>
        <w:t>.</w:t>
      </w:r>
    </w:p>
    <w:p w:rsidR="00594BDB" w:rsidRPr="003F5B17" w:rsidRDefault="00A04C90" w:rsidP="001400C5">
      <w:pPr>
        <w:jc w:val="both"/>
        <w:rPr>
          <w:sz w:val="24"/>
          <w:szCs w:val="24"/>
        </w:rPr>
      </w:pPr>
      <w:r w:rsidRPr="003F5B17">
        <w:rPr>
          <w:rFonts w:eastAsia="MS PGothic"/>
          <w:iCs/>
          <w:color w:val="000000"/>
          <w:sz w:val="24"/>
          <w:szCs w:val="24"/>
        </w:rPr>
        <w:t>In fact, b</w:t>
      </w:r>
      <w:r w:rsidR="00931671" w:rsidRPr="003F5B17">
        <w:rPr>
          <w:rFonts w:eastAsia="MS PGothic"/>
          <w:iCs/>
          <w:color w:val="000000"/>
          <w:sz w:val="24"/>
          <w:szCs w:val="24"/>
        </w:rPr>
        <w:t>uilding new ho</w:t>
      </w:r>
      <w:r w:rsidRPr="003F5B17">
        <w:rPr>
          <w:rFonts w:eastAsia="MS PGothic"/>
          <w:iCs/>
          <w:color w:val="000000"/>
          <w:sz w:val="24"/>
          <w:szCs w:val="24"/>
        </w:rPr>
        <w:t>using</w:t>
      </w:r>
      <w:r w:rsidR="000B4E3D" w:rsidRPr="000B4E3D">
        <w:rPr>
          <w:rFonts w:eastAsia="MS PGothic"/>
          <w:color w:val="000000"/>
          <w:sz w:val="24"/>
          <w:szCs w:val="24"/>
        </w:rPr>
        <w:t xml:space="preserve"> </w:t>
      </w:r>
      <w:r w:rsidR="00931671" w:rsidRPr="003F5B17">
        <w:rPr>
          <w:rFonts w:eastAsia="MS PGothic"/>
          <w:color w:val="000000"/>
          <w:sz w:val="24"/>
          <w:szCs w:val="24"/>
        </w:rPr>
        <w:t>has been</w:t>
      </w:r>
      <w:r w:rsidR="000B4E3D" w:rsidRPr="000B4E3D">
        <w:rPr>
          <w:rFonts w:eastAsia="MS PGothic"/>
          <w:color w:val="000000"/>
          <w:sz w:val="24"/>
          <w:szCs w:val="24"/>
        </w:rPr>
        <w:t xml:space="preserve"> so inefficient </w:t>
      </w:r>
      <w:r w:rsidR="00931671" w:rsidRPr="003F5B17">
        <w:rPr>
          <w:rFonts w:eastAsia="MS PGothic"/>
          <w:color w:val="000000"/>
          <w:sz w:val="24"/>
          <w:szCs w:val="24"/>
        </w:rPr>
        <w:t xml:space="preserve">as a means of </w:t>
      </w:r>
      <w:r w:rsidR="000B4E3D" w:rsidRPr="000B4E3D">
        <w:rPr>
          <w:rFonts w:eastAsia="MS PGothic"/>
          <w:color w:val="000000"/>
          <w:sz w:val="24"/>
          <w:szCs w:val="24"/>
        </w:rPr>
        <w:t>improving t</w:t>
      </w:r>
      <w:r w:rsidR="00931671" w:rsidRPr="003F5B17">
        <w:rPr>
          <w:rFonts w:eastAsia="MS PGothic"/>
          <w:color w:val="000000"/>
          <w:sz w:val="24"/>
          <w:szCs w:val="24"/>
        </w:rPr>
        <w:t>hings for the worst housed that i</w:t>
      </w:r>
      <w:r w:rsidR="000B4E3D" w:rsidRPr="000B4E3D">
        <w:rPr>
          <w:rFonts w:eastAsia="MS PGothic" w:cs="Times New Roman"/>
          <w:color w:val="000000"/>
          <w:sz w:val="24"/>
          <w:szCs w:val="24"/>
        </w:rPr>
        <w:t xml:space="preserve">t took till 1991 </w:t>
      </w:r>
      <w:r w:rsidR="002B12A6">
        <w:rPr>
          <w:rFonts w:eastAsia="MS PGothic" w:cs="Times New Roman"/>
          <w:color w:val="000000"/>
          <w:sz w:val="24"/>
          <w:szCs w:val="24"/>
        </w:rPr>
        <w:t xml:space="preserve">(under the Major government) </w:t>
      </w:r>
      <w:r w:rsidR="000B4E3D" w:rsidRPr="000B4E3D">
        <w:rPr>
          <w:rFonts w:eastAsia="MS PGothic" w:cs="Times New Roman"/>
          <w:color w:val="000000"/>
          <w:sz w:val="24"/>
          <w:szCs w:val="24"/>
        </w:rPr>
        <w:t xml:space="preserve">for </w:t>
      </w:r>
      <w:r w:rsidR="006A0C40">
        <w:rPr>
          <w:rFonts w:eastAsia="MS PGothic" w:cs="Times New Roman"/>
          <w:color w:val="000000"/>
          <w:sz w:val="24"/>
          <w:szCs w:val="24"/>
        </w:rPr>
        <w:t>those at the 10</w:t>
      </w:r>
      <w:r w:rsidR="006A0C40" w:rsidRPr="006A0C40">
        <w:rPr>
          <w:rFonts w:eastAsia="MS PGothic" w:cs="Times New Roman"/>
          <w:color w:val="000000"/>
          <w:sz w:val="24"/>
          <w:szCs w:val="24"/>
          <w:vertAlign w:val="superscript"/>
        </w:rPr>
        <w:t>th</w:t>
      </w:r>
      <w:r w:rsidR="006A0C40">
        <w:rPr>
          <w:rFonts w:eastAsia="MS PGothic" w:cs="Times New Roman"/>
          <w:color w:val="000000"/>
          <w:sz w:val="24"/>
          <w:szCs w:val="24"/>
        </w:rPr>
        <w:t xml:space="preserve"> percentile</w:t>
      </w:r>
      <w:r w:rsidR="00931671" w:rsidRPr="003F5B17">
        <w:rPr>
          <w:rFonts w:eastAsia="MS PGothic" w:cs="Times New Roman"/>
          <w:color w:val="000000"/>
          <w:sz w:val="24"/>
          <w:szCs w:val="24"/>
        </w:rPr>
        <w:t xml:space="preserve"> in England and Wales</w:t>
      </w:r>
      <w:r w:rsidR="00931671" w:rsidRPr="003F5B17">
        <w:rPr>
          <w:rFonts w:eastAsia="MS PGothic" w:cs="Times New Roman"/>
          <w:color w:val="000000"/>
          <w:sz w:val="24"/>
          <w:szCs w:val="24"/>
        </w:rPr>
        <w:t xml:space="preserve"> to get to the </w:t>
      </w:r>
      <w:r w:rsidR="000B4E3D" w:rsidRPr="000B4E3D">
        <w:rPr>
          <w:rFonts w:eastAsia="MS PGothic" w:cs="Times New Roman"/>
          <w:color w:val="000000"/>
          <w:sz w:val="24"/>
          <w:szCs w:val="24"/>
        </w:rPr>
        <w:t xml:space="preserve">space per person </w:t>
      </w:r>
      <w:r w:rsidR="00E2109B">
        <w:rPr>
          <w:rFonts w:eastAsia="MS PGothic" w:cs="Times New Roman"/>
          <w:color w:val="000000"/>
          <w:sz w:val="24"/>
          <w:szCs w:val="24"/>
        </w:rPr>
        <w:t>enjoy</w:t>
      </w:r>
      <w:r w:rsidR="00594BDB" w:rsidRPr="003F5B17">
        <w:rPr>
          <w:rFonts w:eastAsia="MS PGothic" w:cs="Times New Roman"/>
          <w:color w:val="000000"/>
          <w:sz w:val="24"/>
          <w:szCs w:val="24"/>
        </w:rPr>
        <w:t>ed</w:t>
      </w:r>
      <w:r w:rsidR="00931671" w:rsidRPr="003F5B17">
        <w:rPr>
          <w:rFonts w:eastAsia="MS PGothic" w:cs="Times New Roman"/>
          <w:color w:val="000000"/>
          <w:sz w:val="24"/>
          <w:szCs w:val="24"/>
        </w:rPr>
        <w:t xml:space="preserve"> </w:t>
      </w:r>
      <w:r w:rsidR="00E2109B">
        <w:rPr>
          <w:rFonts w:eastAsia="MS PGothic" w:cs="Times New Roman"/>
          <w:color w:val="000000"/>
          <w:sz w:val="24"/>
          <w:szCs w:val="24"/>
        </w:rPr>
        <w:t>by the avera</w:t>
      </w:r>
      <w:r w:rsidR="00931671" w:rsidRPr="003F5B17">
        <w:rPr>
          <w:rFonts w:eastAsia="MS PGothic" w:cs="Times New Roman"/>
          <w:color w:val="000000"/>
          <w:sz w:val="24"/>
          <w:szCs w:val="24"/>
        </w:rPr>
        <w:t>g</w:t>
      </w:r>
      <w:r w:rsidR="00E2109B">
        <w:rPr>
          <w:rFonts w:eastAsia="MS PGothic" w:cs="Times New Roman"/>
          <w:color w:val="000000"/>
          <w:sz w:val="24"/>
          <w:szCs w:val="24"/>
        </w:rPr>
        <w:t>e</w:t>
      </w:r>
      <w:r w:rsidR="00931671" w:rsidRPr="003F5B17">
        <w:rPr>
          <w:rFonts w:eastAsia="MS PGothic" w:cs="Times New Roman"/>
          <w:color w:val="000000"/>
          <w:sz w:val="24"/>
          <w:szCs w:val="24"/>
        </w:rPr>
        <w:t xml:space="preserve"> citizen </w:t>
      </w:r>
      <w:r w:rsidR="00B34552">
        <w:rPr>
          <w:rFonts w:eastAsia="MS PGothic" w:cs="Times New Roman"/>
          <w:color w:val="000000"/>
          <w:sz w:val="24"/>
          <w:szCs w:val="24"/>
        </w:rPr>
        <w:t xml:space="preserve">in 1911 </w:t>
      </w:r>
      <w:r w:rsidR="002B12A6">
        <w:rPr>
          <w:rFonts w:eastAsia="MS PGothic" w:cs="Times New Roman"/>
          <w:color w:val="000000"/>
          <w:sz w:val="24"/>
          <w:szCs w:val="24"/>
        </w:rPr>
        <w:t>(under the Asquith government)</w:t>
      </w:r>
      <w:r w:rsidR="00931671" w:rsidRPr="003F5B17">
        <w:rPr>
          <w:rFonts w:eastAsia="MS PGothic" w:cs="Times New Roman"/>
          <w:color w:val="000000"/>
          <w:sz w:val="24"/>
          <w:szCs w:val="24"/>
        </w:rPr>
        <w:t xml:space="preserve">. </w:t>
      </w:r>
      <w:r w:rsidR="00931671" w:rsidRPr="003F5B17">
        <w:rPr>
          <w:sz w:val="24"/>
          <w:szCs w:val="24"/>
        </w:rPr>
        <w:t>T</w:t>
      </w:r>
      <w:r w:rsidR="00E865AF" w:rsidRPr="003F5B17">
        <w:rPr>
          <w:sz w:val="24"/>
          <w:szCs w:val="24"/>
        </w:rPr>
        <w:t xml:space="preserve">he only </w:t>
      </w:r>
      <w:r w:rsidR="00931671" w:rsidRPr="003F5B17">
        <w:rPr>
          <w:sz w:val="24"/>
          <w:szCs w:val="24"/>
        </w:rPr>
        <w:t>times</w:t>
      </w:r>
      <w:r w:rsidR="00E865AF" w:rsidRPr="003F5B17">
        <w:rPr>
          <w:sz w:val="24"/>
          <w:szCs w:val="24"/>
        </w:rPr>
        <w:t xml:space="preserve"> in </w:t>
      </w:r>
      <w:r w:rsidR="00931671" w:rsidRPr="003F5B17">
        <w:rPr>
          <w:sz w:val="24"/>
          <w:szCs w:val="24"/>
        </w:rPr>
        <w:t xml:space="preserve">the twentieth century </w:t>
      </w:r>
      <w:r w:rsidR="006266D8">
        <w:rPr>
          <w:sz w:val="24"/>
          <w:szCs w:val="24"/>
        </w:rPr>
        <w:t xml:space="preserve">when </w:t>
      </w:r>
      <w:r w:rsidR="00E865AF" w:rsidRPr="003F5B17">
        <w:rPr>
          <w:sz w:val="24"/>
          <w:szCs w:val="24"/>
        </w:rPr>
        <w:t>th</w:t>
      </w:r>
      <w:r w:rsidR="006A0C40">
        <w:rPr>
          <w:sz w:val="24"/>
          <w:szCs w:val="24"/>
        </w:rPr>
        <w:t>ose at the 10</w:t>
      </w:r>
      <w:r w:rsidR="006A0C40" w:rsidRPr="006A0C40">
        <w:rPr>
          <w:sz w:val="24"/>
          <w:szCs w:val="24"/>
          <w:vertAlign w:val="superscript"/>
        </w:rPr>
        <w:t>th</w:t>
      </w:r>
      <w:r w:rsidR="006A0C40">
        <w:rPr>
          <w:sz w:val="24"/>
          <w:szCs w:val="24"/>
        </w:rPr>
        <w:t xml:space="preserve"> percentile</w:t>
      </w:r>
      <w:r w:rsidR="006266D8">
        <w:rPr>
          <w:sz w:val="24"/>
          <w:szCs w:val="24"/>
        </w:rPr>
        <w:t xml:space="preserve"> </w:t>
      </w:r>
      <w:r w:rsidR="00E865AF" w:rsidRPr="003F5B17">
        <w:rPr>
          <w:sz w:val="24"/>
          <w:szCs w:val="24"/>
        </w:rPr>
        <w:t xml:space="preserve">gained </w:t>
      </w:r>
      <w:r w:rsidR="00E2109B">
        <w:rPr>
          <w:sz w:val="24"/>
          <w:szCs w:val="24"/>
        </w:rPr>
        <w:t xml:space="preserve">proportionately </w:t>
      </w:r>
      <w:r w:rsidR="00E865AF" w:rsidRPr="003F5B17">
        <w:rPr>
          <w:sz w:val="24"/>
          <w:szCs w:val="24"/>
        </w:rPr>
        <w:t>more than th</w:t>
      </w:r>
      <w:r w:rsidR="006A0C40">
        <w:rPr>
          <w:sz w:val="24"/>
          <w:szCs w:val="24"/>
        </w:rPr>
        <w:t>ose at the 90th</w:t>
      </w:r>
      <w:r w:rsidR="00E865AF" w:rsidRPr="003F5B17">
        <w:rPr>
          <w:sz w:val="24"/>
          <w:szCs w:val="24"/>
        </w:rPr>
        <w:t xml:space="preserve"> </w:t>
      </w:r>
      <w:r w:rsidR="006266D8">
        <w:rPr>
          <w:sz w:val="24"/>
          <w:szCs w:val="24"/>
        </w:rPr>
        <w:t>were</w:t>
      </w:r>
      <w:r w:rsidR="00E865AF" w:rsidRPr="003F5B17">
        <w:rPr>
          <w:sz w:val="24"/>
          <w:szCs w:val="24"/>
        </w:rPr>
        <w:t xml:space="preserve"> </w:t>
      </w:r>
      <w:r w:rsidR="00E2109B">
        <w:rPr>
          <w:sz w:val="24"/>
          <w:szCs w:val="24"/>
        </w:rPr>
        <w:t>193</w:t>
      </w:r>
      <w:r w:rsidR="00E865AF" w:rsidRPr="003F5B17">
        <w:rPr>
          <w:sz w:val="24"/>
          <w:szCs w:val="24"/>
        </w:rPr>
        <w:t>1-61</w:t>
      </w:r>
      <w:r w:rsidR="004A2132">
        <w:rPr>
          <w:sz w:val="24"/>
          <w:szCs w:val="24"/>
        </w:rPr>
        <w:t xml:space="preserve"> and 1971-81. The first period covered the </w:t>
      </w:r>
      <w:r w:rsidR="00F708C2">
        <w:rPr>
          <w:sz w:val="24"/>
          <w:szCs w:val="24"/>
        </w:rPr>
        <w:t>bulk of</w:t>
      </w:r>
      <w:r w:rsidR="00E865AF" w:rsidRPr="003F5B17">
        <w:rPr>
          <w:sz w:val="24"/>
          <w:szCs w:val="24"/>
        </w:rPr>
        <w:t xml:space="preserve"> council ho</w:t>
      </w:r>
      <w:r w:rsidR="00E2109B">
        <w:rPr>
          <w:sz w:val="24"/>
          <w:szCs w:val="24"/>
        </w:rPr>
        <w:t>us</w:t>
      </w:r>
      <w:r w:rsidR="00E865AF" w:rsidRPr="003F5B17">
        <w:rPr>
          <w:sz w:val="24"/>
          <w:szCs w:val="24"/>
        </w:rPr>
        <w:t>ing</w:t>
      </w:r>
      <w:r w:rsidR="004A2132">
        <w:rPr>
          <w:sz w:val="24"/>
          <w:szCs w:val="24"/>
        </w:rPr>
        <w:t xml:space="preserve"> development. The second </w:t>
      </w:r>
      <w:bookmarkStart w:id="0" w:name="_GoBack"/>
      <w:bookmarkEnd w:id="0"/>
      <w:r w:rsidR="004A2132">
        <w:rPr>
          <w:sz w:val="24"/>
          <w:szCs w:val="24"/>
        </w:rPr>
        <w:t>was a decade</w:t>
      </w:r>
      <w:r w:rsidR="00E865AF" w:rsidRPr="003F5B17">
        <w:rPr>
          <w:sz w:val="24"/>
          <w:szCs w:val="24"/>
        </w:rPr>
        <w:t xml:space="preserve"> when </w:t>
      </w:r>
      <w:r w:rsidR="00674CE7">
        <w:rPr>
          <w:sz w:val="24"/>
          <w:szCs w:val="24"/>
        </w:rPr>
        <w:t>population and housing growth were both unusually slow</w:t>
      </w:r>
      <w:r w:rsidR="00E865AF" w:rsidRPr="003F5B17">
        <w:rPr>
          <w:sz w:val="24"/>
          <w:szCs w:val="24"/>
        </w:rPr>
        <w:t xml:space="preserve">. </w:t>
      </w:r>
    </w:p>
    <w:p w:rsidR="001400C5" w:rsidRPr="003F5B17" w:rsidRDefault="00931671" w:rsidP="00931671">
      <w:pPr>
        <w:jc w:val="both"/>
        <w:rPr>
          <w:sz w:val="24"/>
          <w:szCs w:val="24"/>
        </w:rPr>
      </w:pPr>
      <w:r w:rsidRPr="003F5B17">
        <w:rPr>
          <w:sz w:val="24"/>
          <w:szCs w:val="24"/>
        </w:rPr>
        <w:lastRenderedPageBreak/>
        <w:t>So who ga</w:t>
      </w:r>
      <w:r w:rsidR="00E2109B">
        <w:rPr>
          <w:sz w:val="24"/>
          <w:szCs w:val="24"/>
        </w:rPr>
        <w:t>i</w:t>
      </w:r>
      <w:r w:rsidRPr="003F5B17">
        <w:rPr>
          <w:sz w:val="24"/>
          <w:szCs w:val="24"/>
        </w:rPr>
        <w:t>ns from new house bui</w:t>
      </w:r>
      <w:r w:rsidR="00E2109B">
        <w:rPr>
          <w:sz w:val="24"/>
          <w:szCs w:val="24"/>
        </w:rPr>
        <w:t>l</w:t>
      </w:r>
      <w:r w:rsidRPr="003F5B17">
        <w:rPr>
          <w:sz w:val="24"/>
          <w:szCs w:val="24"/>
        </w:rPr>
        <w:t>ding? The general r</w:t>
      </w:r>
      <w:r w:rsidR="00AD3884">
        <w:rPr>
          <w:sz w:val="24"/>
          <w:szCs w:val="24"/>
        </w:rPr>
        <w:t>u</w:t>
      </w:r>
      <w:r w:rsidRPr="003F5B17">
        <w:rPr>
          <w:sz w:val="24"/>
          <w:szCs w:val="24"/>
        </w:rPr>
        <w:t>le of thumb</w:t>
      </w:r>
      <w:r w:rsidR="00AD3884">
        <w:rPr>
          <w:sz w:val="24"/>
          <w:szCs w:val="24"/>
        </w:rPr>
        <w:t xml:space="preserve"> for the last thirty years or more</w:t>
      </w:r>
      <w:r w:rsidRPr="003F5B17">
        <w:rPr>
          <w:sz w:val="24"/>
          <w:szCs w:val="24"/>
        </w:rPr>
        <w:t xml:space="preserve"> is that </w:t>
      </w:r>
      <w:r w:rsidR="004A2132">
        <w:rPr>
          <w:sz w:val="24"/>
          <w:szCs w:val="24"/>
        </w:rPr>
        <w:t xml:space="preserve">the beneficiaries </w:t>
      </w:r>
      <w:r w:rsidR="002B12A6">
        <w:rPr>
          <w:sz w:val="24"/>
          <w:szCs w:val="24"/>
        </w:rPr>
        <w:t>have been</w:t>
      </w:r>
      <w:r w:rsidRPr="003F5B17">
        <w:rPr>
          <w:sz w:val="24"/>
          <w:szCs w:val="24"/>
        </w:rPr>
        <w:t xml:space="preserve"> </w:t>
      </w:r>
      <w:r w:rsidR="004A2132">
        <w:rPr>
          <w:sz w:val="24"/>
          <w:szCs w:val="24"/>
        </w:rPr>
        <w:t xml:space="preserve">people who were already </w:t>
      </w:r>
      <w:r w:rsidRPr="003F5B17">
        <w:rPr>
          <w:sz w:val="24"/>
          <w:szCs w:val="24"/>
        </w:rPr>
        <w:t>better-housed.</w:t>
      </w:r>
      <w:r w:rsidR="00FA50C9">
        <w:rPr>
          <w:sz w:val="24"/>
          <w:szCs w:val="24"/>
        </w:rPr>
        <w:t xml:space="preserve"> </w:t>
      </w:r>
      <w:r w:rsidR="001400C5" w:rsidRPr="003F5B17">
        <w:rPr>
          <w:sz w:val="24"/>
          <w:szCs w:val="24"/>
        </w:rPr>
        <w:t>Building new housing</w:t>
      </w:r>
      <w:r w:rsidR="00E865AF" w:rsidRPr="003F5B17">
        <w:rPr>
          <w:sz w:val="24"/>
          <w:szCs w:val="24"/>
        </w:rPr>
        <w:t>,</w:t>
      </w:r>
      <w:r w:rsidR="001400C5" w:rsidRPr="003F5B17">
        <w:rPr>
          <w:sz w:val="24"/>
          <w:szCs w:val="24"/>
        </w:rPr>
        <w:t xml:space="preserve"> </w:t>
      </w:r>
      <w:r w:rsidR="00E865AF" w:rsidRPr="003F5B17">
        <w:rPr>
          <w:sz w:val="24"/>
          <w:szCs w:val="24"/>
        </w:rPr>
        <w:t xml:space="preserve">even </w:t>
      </w:r>
      <w:r w:rsidR="00E2109B">
        <w:rPr>
          <w:sz w:val="24"/>
          <w:szCs w:val="24"/>
        </w:rPr>
        <w:t>bui</w:t>
      </w:r>
      <w:r w:rsidR="00AD3884">
        <w:rPr>
          <w:sz w:val="24"/>
          <w:szCs w:val="24"/>
        </w:rPr>
        <w:t>l</w:t>
      </w:r>
      <w:r w:rsidR="00E2109B">
        <w:rPr>
          <w:sz w:val="24"/>
          <w:szCs w:val="24"/>
        </w:rPr>
        <w:t>ding</w:t>
      </w:r>
      <w:r w:rsidRPr="003F5B17">
        <w:rPr>
          <w:sz w:val="24"/>
          <w:szCs w:val="24"/>
        </w:rPr>
        <w:t xml:space="preserve"> </w:t>
      </w:r>
      <w:r w:rsidR="00E865AF" w:rsidRPr="003F5B17">
        <w:rPr>
          <w:sz w:val="24"/>
          <w:szCs w:val="24"/>
        </w:rPr>
        <w:t>enough new housing to keep pace w</w:t>
      </w:r>
      <w:r w:rsidR="00AD3884">
        <w:rPr>
          <w:sz w:val="24"/>
          <w:szCs w:val="24"/>
        </w:rPr>
        <w:t>i</w:t>
      </w:r>
      <w:r w:rsidR="00E865AF" w:rsidRPr="003F5B17">
        <w:rPr>
          <w:sz w:val="24"/>
          <w:szCs w:val="24"/>
        </w:rPr>
        <w:t>th population gr</w:t>
      </w:r>
      <w:r w:rsidR="00AD3884">
        <w:rPr>
          <w:sz w:val="24"/>
          <w:szCs w:val="24"/>
        </w:rPr>
        <w:t>o</w:t>
      </w:r>
      <w:r w:rsidR="00E865AF" w:rsidRPr="003F5B17">
        <w:rPr>
          <w:sz w:val="24"/>
          <w:szCs w:val="24"/>
        </w:rPr>
        <w:t xml:space="preserve">wth, is not actually </w:t>
      </w:r>
      <w:r w:rsidR="001400C5" w:rsidRPr="003F5B17">
        <w:rPr>
          <w:sz w:val="24"/>
          <w:szCs w:val="24"/>
        </w:rPr>
        <w:t xml:space="preserve">enough. </w:t>
      </w:r>
      <w:r w:rsidR="008C4E44" w:rsidRPr="003F5B17">
        <w:rPr>
          <w:sz w:val="24"/>
          <w:szCs w:val="24"/>
        </w:rPr>
        <w:t xml:space="preserve">We also need to pay </w:t>
      </w:r>
      <w:r w:rsidR="00A04C90" w:rsidRPr="003F5B17">
        <w:rPr>
          <w:sz w:val="24"/>
          <w:szCs w:val="24"/>
        </w:rPr>
        <w:t xml:space="preserve">a lot more </w:t>
      </w:r>
      <w:r w:rsidR="008C4E44" w:rsidRPr="003F5B17">
        <w:rPr>
          <w:sz w:val="24"/>
          <w:szCs w:val="24"/>
        </w:rPr>
        <w:t xml:space="preserve">attention to </w:t>
      </w:r>
      <w:proofErr w:type="gramStart"/>
      <w:r w:rsidR="00E865AF" w:rsidRPr="003F5B17">
        <w:rPr>
          <w:sz w:val="24"/>
          <w:szCs w:val="24"/>
        </w:rPr>
        <w:t>who</w:t>
      </w:r>
      <w:proofErr w:type="gramEnd"/>
      <w:r w:rsidR="00E865AF" w:rsidRPr="003F5B17">
        <w:rPr>
          <w:sz w:val="24"/>
          <w:szCs w:val="24"/>
        </w:rPr>
        <w:t xml:space="preserve"> gets what. </w:t>
      </w:r>
      <w:r w:rsidR="008C4E44" w:rsidRPr="003F5B17">
        <w:rPr>
          <w:sz w:val="24"/>
          <w:szCs w:val="24"/>
        </w:rPr>
        <w:t>D</w:t>
      </w:r>
      <w:r w:rsidR="00AD3884">
        <w:rPr>
          <w:sz w:val="24"/>
          <w:szCs w:val="24"/>
        </w:rPr>
        <w:t>i</w:t>
      </w:r>
      <w:r w:rsidR="008C4E44" w:rsidRPr="003F5B17">
        <w:rPr>
          <w:sz w:val="24"/>
          <w:szCs w:val="24"/>
        </w:rPr>
        <w:t>str</w:t>
      </w:r>
      <w:r w:rsidR="00AD3884">
        <w:rPr>
          <w:sz w:val="24"/>
          <w:szCs w:val="24"/>
        </w:rPr>
        <w:t>i</w:t>
      </w:r>
      <w:r w:rsidR="008C4E44" w:rsidRPr="003F5B17">
        <w:rPr>
          <w:sz w:val="24"/>
          <w:szCs w:val="24"/>
        </w:rPr>
        <w:t>b</w:t>
      </w:r>
      <w:r w:rsidR="00AD3884">
        <w:rPr>
          <w:sz w:val="24"/>
          <w:szCs w:val="24"/>
        </w:rPr>
        <w:t>ut</w:t>
      </w:r>
      <w:r w:rsidR="008C4E44" w:rsidRPr="003F5B17">
        <w:rPr>
          <w:sz w:val="24"/>
          <w:szCs w:val="24"/>
        </w:rPr>
        <w:t xml:space="preserve">ion over 1981-2011, </w:t>
      </w:r>
      <w:r w:rsidR="000140D3">
        <w:rPr>
          <w:sz w:val="24"/>
          <w:szCs w:val="24"/>
        </w:rPr>
        <w:t>when</w:t>
      </w:r>
      <w:r w:rsidR="008C4E44" w:rsidRPr="003F5B17">
        <w:rPr>
          <w:sz w:val="24"/>
          <w:szCs w:val="24"/>
        </w:rPr>
        <w:t xml:space="preserve"> private ownership and private rent</w:t>
      </w:r>
      <w:r w:rsidR="00AD3884">
        <w:rPr>
          <w:sz w:val="24"/>
          <w:szCs w:val="24"/>
        </w:rPr>
        <w:t>i</w:t>
      </w:r>
      <w:r w:rsidR="008C4E44" w:rsidRPr="003F5B17">
        <w:rPr>
          <w:sz w:val="24"/>
          <w:szCs w:val="24"/>
        </w:rPr>
        <w:t>ng were increasingly dominant, resu</w:t>
      </w:r>
      <w:r w:rsidR="00AD3884">
        <w:rPr>
          <w:sz w:val="24"/>
          <w:szCs w:val="24"/>
        </w:rPr>
        <w:t>lted i</w:t>
      </w:r>
      <w:r w:rsidR="008C4E44" w:rsidRPr="003F5B17">
        <w:rPr>
          <w:sz w:val="24"/>
          <w:szCs w:val="24"/>
        </w:rPr>
        <w:t>n increas</w:t>
      </w:r>
      <w:r w:rsidR="006266D8">
        <w:rPr>
          <w:sz w:val="24"/>
          <w:szCs w:val="24"/>
        </w:rPr>
        <w:t>ed</w:t>
      </w:r>
      <w:r w:rsidR="008C4E44" w:rsidRPr="003F5B17">
        <w:rPr>
          <w:sz w:val="24"/>
          <w:szCs w:val="24"/>
        </w:rPr>
        <w:t xml:space="preserve"> inequality</w:t>
      </w:r>
      <w:r w:rsidR="006266D8">
        <w:rPr>
          <w:sz w:val="24"/>
          <w:szCs w:val="24"/>
        </w:rPr>
        <w:t xml:space="preserve"> in housing space</w:t>
      </w:r>
      <w:r w:rsidR="00FA50C9">
        <w:rPr>
          <w:sz w:val="24"/>
          <w:szCs w:val="24"/>
        </w:rPr>
        <w:t xml:space="preserve">. </w:t>
      </w:r>
      <w:r w:rsidR="00674CE7">
        <w:rPr>
          <w:sz w:val="24"/>
          <w:szCs w:val="24"/>
        </w:rPr>
        <w:t xml:space="preserve">New housing needs to be genuinely affordable to enable disadvantaged people to benefit. </w:t>
      </w:r>
      <w:r w:rsidR="00C12D86">
        <w:rPr>
          <w:sz w:val="24"/>
          <w:szCs w:val="24"/>
        </w:rPr>
        <w:t>In addition, n</w:t>
      </w:r>
      <w:r w:rsidR="00674CE7">
        <w:rPr>
          <w:sz w:val="24"/>
          <w:szCs w:val="24"/>
        </w:rPr>
        <w:t>ew homes</w:t>
      </w:r>
      <w:r w:rsidR="004A2132">
        <w:rPr>
          <w:sz w:val="24"/>
          <w:szCs w:val="24"/>
        </w:rPr>
        <w:t xml:space="preserve"> need to be fairly small if they are to help the worst housed get an extra room</w:t>
      </w:r>
      <w:r w:rsidR="0015746A">
        <w:rPr>
          <w:sz w:val="24"/>
          <w:szCs w:val="24"/>
        </w:rPr>
        <w:t xml:space="preserve"> or two. B</w:t>
      </w:r>
      <w:r w:rsidR="0015746A">
        <w:rPr>
          <w:rFonts w:eastAsia="Times New Roman" w:cs="Times New Roman"/>
          <w:sz w:val="24"/>
          <w:szCs w:val="24"/>
          <w:lang w:val="en-GB" w:eastAsia="en-GB"/>
        </w:rPr>
        <w:t xml:space="preserve">y 2011, </w:t>
      </w:r>
      <w:r w:rsidR="00E04A2A">
        <w:rPr>
          <w:rFonts w:eastAsia="Times New Roman" w:cs="Times New Roman"/>
          <w:sz w:val="24"/>
          <w:szCs w:val="24"/>
          <w:lang w:val="en-GB" w:eastAsia="en-GB"/>
        </w:rPr>
        <w:t>most</w:t>
      </w:r>
      <w:r w:rsidR="0015746A" w:rsidRPr="00B36AE8">
        <w:rPr>
          <w:rFonts w:eastAsia="Times New Roman" w:cs="Arial"/>
          <w:sz w:val="24"/>
          <w:szCs w:val="24"/>
        </w:rPr>
        <w:t xml:space="preserve"> of those in the worst-housed </w:t>
      </w:r>
      <w:r w:rsidR="0015746A">
        <w:rPr>
          <w:rFonts w:eastAsia="Times New Roman" w:cs="Arial"/>
          <w:sz w:val="24"/>
          <w:szCs w:val="24"/>
        </w:rPr>
        <w:t>tenth of the population had</w:t>
      </w:r>
      <w:r w:rsidR="0015746A" w:rsidRPr="00B36AE8">
        <w:rPr>
          <w:rFonts w:eastAsia="Times New Roman" w:cs="Arial"/>
          <w:sz w:val="24"/>
          <w:szCs w:val="24"/>
        </w:rPr>
        <w:t xml:space="preserve"> homes with three rooms or fewer.</w:t>
      </w:r>
      <w:r w:rsidR="0015746A">
        <w:rPr>
          <w:rFonts w:eastAsia="Times New Roman" w:cs="Arial"/>
          <w:sz w:val="24"/>
          <w:szCs w:val="24"/>
        </w:rPr>
        <w:t xml:space="preserve"> </w:t>
      </w:r>
      <w:r w:rsidR="0015746A">
        <w:rPr>
          <w:rFonts w:eastAsia="Times New Roman" w:cs="Times New Roman"/>
          <w:sz w:val="24"/>
          <w:szCs w:val="24"/>
          <w:lang w:val="en-GB" w:eastAsia="en-GB"/>
        </w:rPr>
        <w:t xml:space="preserve">However, </w:t>
      </w:r>
      <w:r w:rsidR="0015746A" w:rsidRPr="00F70787">
        <w:rPr>
          <w:rFonts w:eastAsia="Times New Roman" w:cs="Times New Roman"/>
          <w:sz w:val="24"/>
          <w:szCs w:val="24"/>
          <w:lang w:val="en-GB" w:eastAsia="en-GB"/>
        </w:rPr>
        <w:t>the med</w:t>
      </w:r>
      <w:r w:rsidR="00E04A2A">
        <w:rPr>
          <w:rFonts w:eastAsia="Times New Roman" w:cs="Times New Roman"/>
          <w:sz w:val="24"/>
          <w:szCs w:val="24"/>
          <w:lang w:val="en-GB" w:eastAsia="en-GB"/>
        </w:rPr>
        <w:t>ian new home produced 1991-</w:t>
      </w:r>
      <w:r w:rsidR="0015746A">
        <w:rPr>
          <w:rFonts w:eastAsia="Times New Roman" w:cs="Times New Roman"/>
          <w:sz w:val="24"/>
          <w:szCs w:val="24"/>
          <w:lang w:val="en-GB" w:eastAsia="en-GB"/>
        </w:rPr>
        <w:t xml:space="preserve">2011 had </w:t>
      </w:r>
      <w:r w:rsidR="00E04A2A">
        <w:rPr>
          <w:rFonts w:eastAsia="Times New Roman" w:cs="Times New Roman"/>
          <w:sz w:val="24"/>
          <w:szCs w:val="24"/>
          <w:lang w:val="en-GB" w:eastAsia="en-GB"/>
        </w:rPr>
        <w:t xml:space="preserve">at least </w:t>
      </w:r>
      <w:r w:rsidR="0015746A">
        <w:rPr>
          <w:rFonts w:eastAsia="Times New Roman" w:cs="Times New Roman"/>
          <w:sz w:val="24"/>
          <w:szCs w:val="24"/>
          <w:lang w:val="en-GB" w:eastAsia="en-GB"/>
        </w:rPr>
        <w:t>seven</w:t>
      </w:r>
      <w:r w:rsidR="0015746A" w:rsidRPr="00F70787">
        <w:rPr>
          <w:rFonts w:eastAsia="Times New Roman" w:cs="Times New Roman"/>
          <w:sz w:val="24"/>
          <w:szCs w:val="24"/>
          <w:lang w:val="en-GB" w:eastAsia="en-GB"/>
        </w:rPr>
        <w:t xml:space="preserve"> rooms</w:t>
      </w:r>
      <w:r w:rsidR="0015746A">
        <w:rPr>
          <w:rFonts w:eastAsia="Times New Roman" w:cs="Times New Roman"/>
          <w:sz w:val="24"/>
          <w:szCs w:val="24"/>
          <w:lang w:val="en-GB" w:eastAsia="en-GB"/>
        </w:rPr>
        <w:t>,</w:t>
      </w:r>
      <w:r w:rsidR="0015746A">
        <w:rPr>
          <w:rFonts w:eastAsia="Times New Roman" w:cs="Times New Roman"/>
          <w:sz w:val="24"/>
          <w:szCs w:val="24"/>
          <w:lang w:val="en-GB" w:eastAsia="en-GB"/>
        </w:rPr>
        <w:t xml:space="preserve"> </w:t>
      </w:r>
      <w:r w:rsidR="00562E6C">
        <w:rPr>
          <w:rFonts w:eastAsia="Times New Roman" w:cs="Times New Roman"/>
          <w:sz w:val="24"/>
          <w:szCs w:val="24"/>
          <w:lang w:val="en-GB" w:eastAsia="en-GB"/>
        </w:rPr>
        <w:t>putting</w:t>
      </w:r>
      <w:r w:rsidR="00C12D86">
        <w:rPr>
          <w:rFonts w:eastAsia="Times New Roman" w:cs="Times New Roman"/>
          <w:sz w:val="24"/>
          <w:szCs w:val="24"/>
          <w:lang w:val="en-GB" w:eastAsia="en-GB"/>
        </w:rPr>
        <w:t xml:space="preserve"> it out of reach whether</w:t>
      </w:r>
      <w:r w:rsidR="0015746A">
        <w:rPr>
          <w:rFonts w:eastAsia="Times New Roman" w:cs="Times New Roman"/>
          <w:sz w:val="24"/>
          <w:szCs w:val="24"/>
          <w:lang w:val="en-GB" w:eastAsia="en-GB"/>
        </w:rPr>
        <w:t xml:space="preserve"> by </w:t>
      </w:r>
      <w:r w:rsidR="00DE3756">
        <w:rPr>
          <w:rFonts w:eastAsia="Times New Roman" w:cs="Times New Roman"/>
          <w:sz w:val="24"/>
          <w:szCs w:val="24"/>
          <w:lang w:val="en-GB" w:eastAsia="en-GB"/>
        </w:rPr>
        <w:t xml:space="preserve">price </w:t>
      </w:r>
      <w:r w:rsidR="0015746A">
        <w:rPr>
          <w:rFonts w:eastAsia="Times New Roman" w:cs="Times New Roman"/>
          <w:sz w:val="24"/>
          <w:szCs w:val="24"/>
          <w:lang w:val="en-GB" w:eastAsia="en-GB"/>
        </w:rPr>
        <w:t xml:space="preserve">or </w:t>
      </w:r>
      <w:r w:rsidR="00E04A2A">
        <w:rPr>
          <w:rFonts w:eastAsia="Times New Roman" w:cs="Times New Roman"/>
          <w:sz w:val="24"/>
          <w:szCs w:val="24"/>
          <w:lang w:val="en-GB" w:eastAsia="en-GB"/>
        </w:rPr>
        <w:t xml:space="preserve">social housing </w:t>
      </w:r>
      <w:r w:rsidR="0015746A">
        <w:rPr>
          <w:rFonts w:eastAsia="Times New Roman" w:cs="Times New Roman"/>
          <w:sz w:val="24"/>
          <w:szCs w:val="24"/>
          <w:lang w:val="en-GB" w:eastAsia="en-GB"/>
        </w:rPr>
        <w:t>allocation policy.</w:t>
      </w:r>
    </w:p>
    <w:p w:rsidR="00931671" w:rsidRPr="003F5B17" w:rsidRDefault="00931671" w:rsidP="000B4E3D">
      <w:pPr>
        <w:spacing w:before="115" w:after="0" w:line="192" w:lineRule="auto"/>
        <w:textAlignment w:val="baseline"/>
        <w:rPr>
          <w:rFonts w:eastAsia="MS PGothic"/>
          <w:color w:val="000000"/>
          <w:sz w:val="24"/>
          <w:szCs w:val="24"/>
        </w:rPr>
      </w:pPr>
    </w:p>
    <w:p w:rsidR="000B4E3D" w:rsidRPr="003F5B17" w:rsidRDefault="000B4E3D" w:rsidP="000B4E3D">
      <w:pPr>
        <w:spacing w:after="0" w:line="192" w:lineRule="auto"/>
        <w:contextualSpacing/>
        <w:textAlignment w:val="baseline"/>
        <w:rPr>
          <w:b/>
          <w:sz w:val="24"/>
          <w:szCs w:val="24"/>
        </w:rPr>
      </w:pPr>
    </w:p>
    <w:p w:rsidR="001318DA" w:rsidRPr="003F5B17" w:rsidRDefault="00C75C14">
      <w:pPr>
        <w:rPr>
          <w:sz w:val="24"/>
          <w:szCs w:val="24"/>
        </w:rPr>
      </w:pPr>
    </w:p>
    <w:sectPr w:rsidR="001318DA" w:rsidRPr="003F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14" w:rsidRDefault="00C75C14" w:rsidP="007F302B">
      <w:pPr>
        <w:spacing w:after="0" w:line="240" w:lineRule="auto"/>
      </w:pPr>
      <w:r>
        <w:separator/>
      </w:r>
    </w:p>
  </w:endnote>
  <w:endnote w:type="continuationSeparator" w:id="0">
    <w:p w:rsidR="00C75C14" w:rsidRDefault="00C75C14" w:rsidP="007F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14" w:rsidRDefault="00C75C14" w:rsidP="007F302B">
      <w:pPr>
        <w:spacing w:after="0" w:line="240" w:lineRule="auto"/>
      </w:pPr>
      <w:r>
        <w:separator/>
      </w:r>
    </w:p>
  </w:footnote>
  <w:footnote w:type="continuationSeparator" w:id="0">
    <w:p w:rsidR="00C75C14" w:rsidRDefault="00C75C14" w:rsidP="007F302B">
      <w:pPr>
        <w:spacing w:after="0" w:line="240" w:lineRule="auto"/>
      </w:pPr>
      <w:r>
        <w:continuationSeparator/>
      </w:r>
    </w:p>
  </w:footnote>
  <w:footnote w:id="1">
    <w:p w:rsidR="007F302B" w:rsidRPr="002B12A6" w:rsidRDefault="007F302B" w:rsidP="002B12A6">
      <w:pPr>
        <w:jc w:val="both"/>
        <w:rPr>
          <w:sz w:val="20"/>
          <w:szCs w:val="20"/>
        </w:rPr>
      </w:pPr>
      <w:r w:rsidRPr="00FA50C9">
        <w:rPr>
          <w:rStyle w:val="FootnoteReference"/>
          <w:sz w:val="20"/>
          <w:szCs w:val="20"/>
        </w:rPr>
        <w:footnoteRef/>
      </w:r>
      <w:r w:rsidRPr="00FA50C9">
        <w:rPr>
          <w:sz w:val="20"/>
          <w:szCs w:val="20"/>
        </w:rPr>
        <w:t xml:space="preserve"> </w:t>
      </w:r>
      <w:r w:rsidR="00931671" w:rsidRPr="00FA50C9">
        <w:rPr>
          <w:sz w:val="20"/>
          <w:szCs w:val="20"/>
        </w:rPr>
        <w:t xml:space="preserve">Crisp, R; Cole, I; </w:t>
      </w:r>
      <w:proofErr w:type="spellStart"/>
      <w:r w:rsidR="00931671" w:rsidRPr="00FA50C9">
        <w:rPr>
          <w:sz w:val="20"/>
          <w:szCs w:val="20"/>
        </w:rPr>
        <w:t>Eadson</w:t>
      </w:r>
      <w:proofErr w:type="spellEnd"/>
      <w:r w:rsidR="00931671" w:rsidRPr="00FA50C9">
        <w:rPr>
          <w:sz w:val="20"/>
          <w:szCs w:val="20"/>
        </w:rPr>
        <w:t>, W, Ferrari, E; Powell</w:t>
      </w:r>
      <w:r w:rsidR="002B12A6">
        <w:rPr>
          <w:sz w:val="20"/>
          <w:szCs w:val="20"/>
        </w:rPr>
        <w:t xml:space="preserve">, R and While, A </w:t>
      </w:r>
      <w:r w:rsidR="00931671" w:rsidRPr="00FA50C9">
        <w:rPr>
          <w:sz w:val="20"/>
          <w:szCs w:val="20"/>
        </w:rPr>
        <w:t xml:space="preserve">(2017) </w:t>
      </w:r>
      <w:hyperlink r:id="rId1" w:history="1">
        <w:r w:rsidR="00931671" w:rsidRPr="002B12A6">
          <w:rPr>
            <w:rStyle w:val="Hyperlink"/>
            <w:i/>
            <w:sz w:val="20"/>
            <w:szCs w:val="20"/>
          </w:rPr>
          <w:t>Tackling poverty through housing and planning policy in city regions</w:t>
        </w:r>
      </w:hyperlink>
      <w:r w:rsidR="00931671" w:rsidRPr="002B12A6">
        <w:rPr>
          <w:sz w:val="20"/>
          <w:szCs w:val="20"/>
        </w:rPr>
        <w:t xml:space="preserve"> York: JRF</w:t>
      </w:r>
    </w:p>
  </w:footnote>
  <w:footnote w:id="2">
    <w:p w:rsidR="002B12A6" w:rsidRPr="002B12A6" w:rsidRDefault="002B12A6" w:rsidP="002B12A6">
      <w:pPr>
        <w:spacing w:after="0" w:line="240" w:lineRule="auto"/>
        <w:rPr>
          <w:sz w:val="20"/>
          <w:szCs w:val="20"/>
        </w:rPr>
      </w:pPr>
      <w:r w:rsidRPr="002B12A6">
        <w:rPr>
          <w:rStyle w:val="FootnoteReference"/>
          <w:sz w:val="20"/>
          <w:szCs w:val="20"/>
        </w:rPr>
        <w:footnoteRef/>
      </w:r>
      <w:r w:rsidRPr="002B12A6">
        <w:rPr>
          <w:sz w:val="20"/>
          <w:szCs w:val="20"/>
        </w:rPr>
        <w:t xml:space="preserve"> </w:t>
      </w:r>
      <w:r w:rsidRPr="002B12A6">
        <w:rPr>
          <w:sz w:val="20"/>
          <w:szCs w:val="20"/>
        </w:rPr>
        <w:t xml:space="preserve">DCLG (2017) </w:t>
      </w:r>
      <w:r w:rsidRPr="002B12A6">
        <w:rPr>
          <w:i/>
          <w:sz w:val="20"/>
          <w:szCs w:val="20"/>
        </w:rPr>
        <w:t>Fixing our broken housing market</w:t>
      </w:r>
      <w:r w:rsidRPr="002B12A6">
        <w:rPr>
          <w:sz w:val="20"/>
          <w:szCs w:val="20"/>
        </w:rPr>
        <w:t xml:space="preserve"> </w:t>
      </w:r>
      <w:proofErr w:type="spellStart"/>
      <w:r w:rsidRPr="002B12A6">
        <w:rPr>
          <w:sz w:val="20"/>
          <w:szCs w:val="20"/>
        </w:rPr>
        <w:t>Cmnd</w:t>
      </w:r>
      <w:proofErr w:type="spellEnd"/>
      <w:r w:rsidRPr="002B12A6">
        <w:rPr>
          <w:sz w:val="20"/>
          <w:szCs w:val="20"/>
        </w:rPr>
        <w:t xml:space="preserve"> 9352 London: HMSO </w:t>
      </w:r>
    </w:p>
    <w:p w:rsidR="002B12A6" w:rsidRDefault="002B12A6">
      <w:pPr>
        <w:pStyle w:val="FootnoteText"/>
      </w:pPr>
    </w:p>
  </w:footnote>
  <w:footnote w:id="3">
    <w:p w:rsidR="008C4E44" w:rsidRPr="00FA50C9" w:rsidRDefault="008C4E44" w:rsidP="00FA50C9">
      <w:pPr>
        <w:jc w:val="both"/>
        <w:rPr>
          <w:sz w:val="20"/>
          <w:szCs w:val="20"/>
        </w:rPr>
      </w:pPr>
      <w:r w:rsidRPr="00FA50C9">
        <w:rPr>
          <w:rStyle w:val="FootnoteReference"/>
          <w:sz w:val="20"/>
          <w:szCs w:val="20"/>
        </w:rPr>
        <w:footnoteRef/>
      </w:r>
      <w:r w:rsidRPr="00FA50C9">
        <w:rPr>
          <w:sz w:val="20"/>
          <w:szCs w:val="20"/>
        </w:rPr>
        <w:t xml:space="preserve"> </w:t>
      </w:r>
      <w:r w:rsidR="00931671" w:rsidRPr="00FA50C9">
        <w:rPr>
          <w:sz w:val="20"/>
          <w:szCs w:val="20"/>
        </w:rPr>
        <w:t>Crisp</w:t>
      </w:r>
      <w:r w:rsidR="00FA50C9">
        <w:rPr>
          <w:sz w:val="20"/>
          <w:szCs w:val="20"/>
        </w:rPr>
        <w:t xml:space="preserve"> et al. 2017</w:t>
      </w:r>
    </w:p>
  </w:footnote>
  <w:footnote w:id="4">
    <w:p w:rsidR="0015746A" w:rsidRPr="0015746A" w:rsidRDefault="0015746A">
      <w:pPr>
        <w:pStyle w:val="FootnoteText"/>
      </w:pPr>
      <w:r>
        <w:rPr>
          <w:rStyle w:val="FootnoteReference"/>
        </w:rPr>
        <w:footnoteRef/>
      </w:r>
      <w:r>
        <w:t xml:space="preserve"> ‘Room</w:t>
      </w:r>
      <w:r w:rsidR="006F0FA8">
        <w:t>s’</w:t>
      </w:r>
      <w:r>
        <w:t xml:space="preserve"> include</w:t>
      </w:r>
      <w:r w:rsidRPr="0015746A">
        <w:rPr>
          <w:sz w:val="24"/>
          <w:szCs w:val="24"/>
        </w:rPr>
        <w:t xml:space="preserve"> </w:t>
      </w:r>
      <w:r w:rsidRPr="0015746A">
        <w:t xml:space="preserve">bedrooms, living rooms and kitchens, utility rooms, studies and conservatories, </w:t>
      </w:r>
      <w:r w:rsidRPr="0015746A">
        <w:t xml:space="preserve">but not bathrooms, toilets, halls, </w:t>
      </w:r>
      <w:r w:rsidRPr="0015746A">
        <w:t xml:space="preserve">landings, or rooms that can only </w:t>
      </w:r>
      <w:r w:rsidRPr="0015746A">
        <w:t>be used for storage</w:t>
      </w:r>
      <w:r w:rsidRPr="0015746A">
        <w:t>.</w:t>
      </w:r>
    </w:p>
  </w:footnote>
  <w:footnote w:id="5">
    <w:p w:rsidR="004324E1" w:rsidRPr="006F0FA8" w:rsidRDefault="004324E1" w:rsidP="004324E1">
      <w:pPr>
        <w:pStyle w:val="FootnoteText"/>
      </w:pPr>
      <w:r w:rsidRPr="0015746A">
        <w:rPr>
          <w:rStyle w:val="FootnoteReference"/>
        </w:rPr>
        <w:footnoteRef/>
      </w:r>
      <w:r w:rsidRPr="0015746A">
        <w:t xml:space="preserve"> Tunstall</w:t>
      </w:r>
      <w:r w:rsidR="006F0FA8">
        <w:t>, B (</w:t>
      </w:r>
      <w:r w:rsidRPr="0015746A">
        <w:t>2015</w:t>
      </w:r>
      <w:r w:rsidR="006F0FA8">
        <w:t xml:space="preserve">) ‘Relative housing space inequality in England and Wales and its recent rapid </w:t>
      </w:r>
      <w:proofErr w:type="spellStart"/>
      <w:r w:rsidR="006F0FA8" w:rsidRPr="006F0FA8">
        <w:t>resurgance</w:t>
      </w:r>
      <w:proofErr w:type="spellEnd"/>
      <w:r w:rsidR="006F0FA8" w:rsidRPr="006F0FA8">
        <w:t xml:space="preserve">’ </w:t>
      </w:r>
      <w:r w:rsidR="006F0FA8" w:rsidRPr="006F0FA8">
        <w:rPr>
          <w:i/>
        </w:rPr>
        <w:t>International Journal of Housing Policy</w:t>
      </w:r>
      <w:r w:rsidR="006F0FA8">
        <w:rPr>
          <w:i/>
        </w:rPr>
        <w:t xml:space="preserve"> </w:t>
      </w:r>
      <w:r w:rsidR="006F0FA8" w:rsidRPr="006F0FA8">
        <w:t>Online 13</w:t>
      </w:r>
      <w:r w:rsidR="006F0FA8" w:rsidRPr="006F0FA8">
        <w:rPr>
          <w:vertAlign w:val="superscript"/>
        </w:rPr>
        <w:t>th</w:t>
      </w:r>
      <w:r w:rsidR="006F0FA8" w:rsidRPr="006F0FA8">
        <w:t xml:space="preserve"> January pp105-126 http://www.tandfonline.com/doi/abs/10.1080/14616718.2014.984826?journalCode=reuj20</w:t>
      </w:r>
    </w:p>
  </w:footnote>
  <w:footnote w:id="6">
    <w:p w:rsidR="00931671" w:rsidRDefault="00931671">
      <w:pPr>
        <w:pStyle w:val="FootnoteText"/>
      </w:pPr>
      <w:r w:rsidRPr="00FA50C9">
        <w:rPr>
          <w:rStyle w:val="FootnoteReference"/>
        </w:rPr>
        <w:footnoteRef/>
      </w:r>
      <w:r w:rsidRPr="00FA50C9">
        <w:t xml:space="preserve"> Author’s calculations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539"/>
    <w:multiLevelType w:val="hybridMultilevel"/>
    <w:tmpl w:val="99E6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D3B88"/>
    <w:multiLevelType w:val="hybridMultilevel"/>
    <w:tmpl w:val="2D6264AC"/>
    <w:lvl w:ilvl="0" w:tplc="8F4C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E7704">
      <w:start w:val="36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86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2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8C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8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40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E2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0F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3B1EB9"/>
    <w:multiLevelType w:val="hybridMultilevel"/>
    <w:tmpl w:val="A2B4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C344A"/>
    <w:multiLevelType w:val="hybridMultilevel"/>
    <w:tmpl w:val="5628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9E"/>
    <w:rsid w:val="000140D3"/>
    <w:rsid w:val="000B4E3D"/>
    <w:rsid w:val="000D7802"/>
    <w:rsid w:val="00132F5C"/>
    <w:rsid w:val="001400C5"/>
    <w:rsid w:val="0015746A"/>
    <w:rsid w:val="002B12A6"/>
    <w:rsid w:val="002E4E57"/>
    <w:rsid w:val="003C269E"/>
    <w:rsid w:val="003F5B17"/>
    <w:rsid w:val="004324E1"/>
    <w:rsid w:val="004A2132"/>
    <w:rsid w:val="00562E6C"/>
    <w:rsid w:val="00594BDB"/>
    <w:rsid w:val="005B71F7"/>
    <w:rsid w:val="006266D8"/>
    <w:rsid w:val="00674CE7"/>
    <w:rsid w:val="006A0C40"/>
    <w:rsid w:val="006F0FA8"/>
    <w:rsid w:val="007F302B"/>
    <w:rsid w:val="0087527A"/>
    <w:rsid w:val="008C4E44"/>
    <w:rsid w:val="00931671"/>
    <w:rsid w:val="00A04C90"/>
    <w:rsid w:val="00A354D5"/>
    <w:rsid w:val="00A41E3C"/>
    <w:rsid w:val="00A92F69"/>
    <w:rsid w:val="00AD3884"/>
    <w:rsid w:val="00B34552"/>
    <w:rsid w:val="00C12D86"/>
    <w:rsid w:val="00C75C14"/>
    <w:rsid w:val="00CE0F68"/>
    <w:rsid w:val="00D240AE"/>
    <w:rsid w:val="00D86304"/>
    <w:rsid w:val="00DE3756"/>
    <w:rsid w:val="00E04A2A"/>
    <w:rsid w:val="00E2109B"/>
    <w:rsid w:val="00E4658A"/>
    <w:rsid w:val="00E865AF"/>
    <w:rsid w:val="00ED1CB3"/>
    <w:rsid w:val="00F708C2"/>
    <w:rsid w:val="00FA50C9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F6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0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0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02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B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F6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0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0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02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B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7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rf.org.uk/report/tackling-poverty-through-housing-and-planning-policy-city-region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ecky\Documents\TCPA%20artcile%20Nov%202017%20diagram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England and Wales</c:v>
                </c:pt>
              </c:strCache>
            </c:strRef>
          </c:tx>
          <c:invertIfNegative val="0"/>
          <c:cat>
            <c:strRef>
              <c:f>Sheet1!$A$3:$A$11</c:f>
              <c:strCache>
                <c:ptCount val="9"/>
                <c:pt idx="0">
                  <c:v>10th</c:v>
                </c:pt>
                <c:pt idx="1">
                  <c:v>20th</c:v>
                </c:pt>
                <c:pt idx="2">
                  <c:v>30th</c:v>
                </c:pt>
                <c:pt idx="3">
                  <c:v>40th</c:v>
                </c:pt>
                <c:pt idx="4">
                  <c:v>50th</c:v>
                </c:pt>
                <c:pt idx="5">
                  <c:v>60th</c:v>
                </c:pt>
                <c:pt idx="6">
                  <c:v>70th</c:v>
                </c:pt>
                <c:pt idx="7">
                  <c:v>80th</c:v>
                </c:pt>
                <c:pt idx="8">
                  <c:v>90th</c:v>
                </c:pt>
              </c:strCache>
            </c:strRef>
          </c:cat>
          <c:val>
            <c:numRef>
              <c:f>Sheet1!$B$3:$B$11</c:f>
              <c:numCache>
                <c:formatCode>General</c:formatCode>
                <c:ptCount val="9"/>
                <c:pt idx="0">
                  <c:v>0.05</c:v>
                </c:pt>
                <c:pt idx="1">
                  <c:v>0.25</c:v>
                </c:pt>
                <c:pt idx="2">
                  <c:v>0.37</c:v>
                </c:pt>
                <c:pt idx="3">
                  <c:v>0.32</c:v>
                </c:pt>
                <c:pt idx="4">
                  <c:v>0.5</c:v>
                </c:pt>
                <c:pt idx="5">
                  <c:v>0.33</c:v>
                </c:pt>
                <c:pt idx="6">
                  <c:v>0.55000000000000004</c:v>
                </c:pt>
                <c:pt idx="7">
                  <c:v>0.67</c:v>
                </c:pt>
                <c:pt idx="8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069696"/>
        <c:axId val="287071232"/>
      </c:barChart>
      <c:catAx>
        <c:axId val="287069696"/>
        <c:scaling>
          <c:orientation val="minMax"/>
        </c:scaling>
        <c:delete val="0"/>
        <c:axPos val="b"/>
        <c:majorTickMark val="out"/>
        <c:minorTickMark val="none"/>
        <c:tickLblPos val="nextTo"/>
        <c:crossAx val="287071232"/>
        <c:crosses val="autoZero"/>
        <c:auto val="1"/>
        <c:lblAlgn val="ctr"/>
        <c:lblOffset val="100"/>
        <c:noMultiLvlLbl val="0"/>
      </c:catAx>
      <c:valAx>
        <c:axId val="287071232"/>
        <c:scaling>
          <c:orientation val="minMax"/>
          <c:max val="1.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0696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3219-EB55-43C8-84F0-DAD50333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28</cp:revision>
  <dcterms:created xsi:type="dcterms:W3CDTF">2017-09-27T14:06:00Z</dcterms:created>
  <dcterms:modified xsi:type="dcterms:W3CDTF">2017-11-14T15:29:00Z</dcterms:modified>
</cp:coreProperties>
</file>